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F81469" w:rsidR="00B819E1" w:rsidP="3433DD88" w:rsidRDefault="004A78FD" w14:textId="52FB32A4" w14:paraId="14A67FE1">
      <w:pPr>
        <w:pStyle w:val="Normal"/>
        <w:spacing w:after="0" w:line="240" w:lineRule="auto"/>
        <w:jc w:val="left"/>
        <w:rPr>
          <w:rFonts w:ascii="Arial Narrow" w:hAnsi="Arial Narrow" w:eastAsia="Times New Roman" w:cs="Arial"/>
          <w:b w:val="1"/>
          <w:bCs w:val="1"/>
          <w:sz w:val="24"/>
          <w:szCs w:val="24"/>
          <w:lang w:eastAsia="es-ES"/>
        </w:rPr>
      </w:pPr>
      <w:r w:rsidRPr="7457B650" w:rsidR="768A84D5">
        <w:rPr>
          <w:rFonts w:ascii="Arial Narrow" w:hAnsi="Arial Narrow" w:eastAsia="Times New Roman" w:cs="Times New Roman"/>
          <w:noProof/>
          <w:sz w:val="20"/>
          <w:szCs w:val="20"/>
          <w:lang w:eastAsia="es-CO"/>
        </w:rPr>
        <w:t xml:space="preserve"> </w:t>
      </w: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16E3844A" wp14:editId="3CD633F8">
                <wp:extent xmlns:wp="http://schemas.openxmlformats.org/drawingml/2006/wordprocessingDrawing" cx="6178550" cy="2637155"/>
                <wp:effectExtent xmlns:wp="http://schemas.openxmlformats.org/drawingml/2006/wordprocessingDrawing" l="0" t="0" r="0" b="0"/>
                <wp:docPr xmlns:wp="http://schemas.openxmlformats.org/drawingml/2006/wordprocessingDrawing" id="606882260" name="Rectángulo 7"/>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6178550" cy="2637155"/>
                        </a:xfrm>
                        <a:prstGeom prst="rect">
                          <a:avLst/>
                        </a:prstGeom>
                        <a:noFill/>
                        <a:ln w="12700">
                          <a:noFill/>
                          <a:prstDash val="solid"/>
                          <a:miter/>
                        </a:ln>
                      </wps:spPr>
                      <wps:txbx>
                        <w:txbxContent xmlns:w="http://schemas.openxmlformats.org/wordprocessingml/2006/main">
                          <w:p w:rsidR="00626EB9" w:rsidP="000B6DF0" w:rsidRDefault="00626EB9">
                            <w:pPr>
                              <w:spacing w:line="276" w:lineRule="auto"/>
                              <w:ind w:left="562" w:right="562"/>
                              <w:rPr>
                                <w:rFonts w:ascii="Arial Narrow" w:hAnsi="Arial Narrow"/>
                                <w:b/>
                                <w:bCs/>
                                <w:color w:val="000000"/>
                                <w:kern w:val="0"/>
                                <w:sz w:val="56"/>
                                <w:szCs w:val="56"/>
                                <w:lang w:val="en-US"/>
                                <w14:ligatures xmlns:w14="http://schemas.microsoft.com/office/word/2010/wordml" w14:val="none"/>
                              </w:rPr>
                            </w:pPr>
                            <w:r>
                              <w:rPr>
                                <w:rFonts w:ascii="Arial Narrow" w:hAnsi="Arial Narrow"/>
                                <w:b/>
                                <w:bCs/>
                                <w:color w:val="000000"/>
                                <w:sz w:val="56"/>
                                <w:szCs w:val="56"/>
                                <w:lang w:val="en-US"/>
                              </w:rPr>
                              <w:t>Ineludible 2</w:t>
                            </w:r>
                          </w:p>
                          <w:p w:rsidR="00626EB9" w:rsidP="000B6DF0" w:rsidRDefault="00626EB9">
                            <w:pPr>
                              <w:spacing w:line="276" w:lineRule="auto"/>
                              <w:ind w:left="562" w:right="562"/>
                              <w:rPr>
                                <w:rFonts w:ascii="Arial Narrow" w:hAnsi="Arial Narrow"/>
                                <w:b/>
                                <w:bCs/>
                                <w:color w:val="000000"/>
                                <w:sz w:val="56"/>
                                <w:szCs w:val="56"/>
                                <w:lang w:val="en-US"/>
                              </w:rPr>
                            </w:pPr>
                            <w:r>
                              <w:rPr>
                                <w:rFonts w:ascii="Arial Narrow" w:hAnsi="Arial Narrow"/>
                                <w:b/>
                                <w:bCs/>
                                <w:color w:val="000000"/>
                                <w:sz w:val="56"/>
                                <w:szCs w:val="56"/>
                                <w:lang w:val="en-US"/>
                              </w:rPr>
                              <w:t>Jurisdicciones - Santurbán – Berlín</w:t>
                            </w:r>
                          </w:p>
                          <w:p w:rsidR="00626EB9" w:rsidP="000B6DF0" w:rsidRDefault="00626EB9">
                            <w:pPr>
                              <w:spacing w:line="276" w:lineRule="auto"/>
                              <w:ind w:left="562" w:right="562"/>
                              <w:rPr>
                                <w:rFonts w:ascii="Arial Narrow" w:hAnsi="Arial Narrow"/>
                                <w:b/>
                                <w:bCs/>
                                <w:color w:val="000000"/>
                                <w:sz w:val="32"/>
                                <w:szCs w:val="32"/>
                                <w:lang w:val="en-US"/>
                              </w:rPr>
                            </w:pPr>
                            <w:r>
                              <w:rPr>
                                <w:rFonts w:ascii="Arial Narrow" w:hAnsi="Arial Narrow"/>
                                <w:b/>
                                <w:bCs/>
                                <w:color w:val="000000"/>
                                <w:sz w:val="32"/>
                                <w:szCs w:val="32"/>
                                <w:lang w:val="en-US"/>
                              </w:rPr>
                              <w:t xml:space="preserve">Lineamientos para la reconversión productiva de las actividades agropecuarias </w:t>
                            </w:r>
                          </w:p>
                          <w:p w:rsidR="00626EB9" w:rsidP="000B6DF0" w:rsidRDefault="00626EB9">
                            <w:pPr>
                              <w:spacing w:line="276" w:lineRule="auto"/>
                              <w:ind w:left="562" w:right="562"/>
                              <w:rPr>
                                <w:rFonts w:ascii="Arial Narrow" w:hAnsi="Arial Narrow"/>
                                <w:b/>
                                <w:bCs/>
                                <w:color w:val="000000"/>
                                <w:sz w:val="32"/>
                                <w:szCs w:val="32"/>
                                <w:lang w:val="en-US"/>
                              </w:rPr>
                            </w:pPr>
                            <w:r>
                              <w:rPr>
                                <w:rFonts w:ascii="Arial Narrow" w:hAnsi="Arial Narrow"/>
                                <w:b/>
                                <w:bCs/>
                                <w:color w:val="000000"/>
                                <w:sz w:val="32"/>
                                <w:szCs w:val="32"/>
                                <w:lang w:val="en-US"/>
                              </w:rPr>
                              <w:t>Dirección de Asuntos Ambientales Sociales y Urbanos - DAASU</w:t>
                            </w:r>
                          </w:p>
                        </w:txbxContent>
                      </wps:txbx>
                      <wps:bodyPr spcFirstLastPara="0" wrap="square" lIns="91440" tIns="45720" rIns="91440" bIns="45720" anchor="ctr">
                        <a:noAutofit/>
                      </wps:bodyPr>
                    </wps:wsp>
                  </a:graphicData>
                </a:graphic>
              </wp:inline>
            </w:drawing>
          </mc:Choice>
          <mc:Fallback xmlns:a="http://schemas.openxmlformats.org/drawingml/2006/main" xmlns:mc="http://schemas.openxmlformats.org/markup-compatibility/2006"/>
        </mc:AlternateContent>
      </w:r>
    </w:p>
    <w:p w:rsidRPr="00F81469" w:rsidR="00B819E1" w:rsidP="3433DD88" w:rsidRDefault="004A78FD" w14:paraId="54B23239" w14:textId="0E16F073">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3BAAD120" w14:textId="2ACD4A67">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5C0A21D5" w14:textId="1BB0AB5A">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2E81A166" w14:textId="7E95A827">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79772241" w14:textId="0F9666C9">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703A3F59" w14:textId="668CF6D7">
      <w:pPr>
        <w:spacing w:after="120" w:line="264" w:lineRule="auto"/>
        <w:rPr>
          <w:rFonts w:ascii="Verdana" w:hAnsi="Verdana" w:eastAsia="Verdana" w:cs="Verdana"/>
          <w:b w:val="0"/>
          <w:bCs w:val="0"/>
          <w:i w:val="0"/>
          <w:iCs w:val="0"/>
          <w:caps w:val="0"/>
          <w:smallCaps w:val="0"/>
          <w:noProof w:val="0"/>
          <w:color w:val="000000" w:themeColor="text1" w:themeTint="FF" w:themeShade="FF"/>
          <w:sz w:val="22"/>
          <w:szCs w:val="22"/>
          <w:lang w:val="es-CO"/>
        </w:rPr>
      </w:pPr>
    </w:p>
    <w:p w:rsidRPr="00F81469" w:rsidR="00B819E1" w:rsidP="3433DD88" w:rsidRDefault="004A78FD" w14:paraId="77F32BCA" w14:textId="7BC13F3B">
      <w:pPr>
        <w:spacing w:after="120" w:line="264" w:lineRule="auto"/>
        <w:jc w:val="right"/>
        <w:rPr>
          <w:rFonts w:ascii="Calibri" w:hAnsi="Calibri" w:eastAsia="Calibri" w:cs="Calibri"/>
          <w:b w:val="0"/>
          <w:bCs w:val="0"/>
          <w:i w:val="0"/>
          <w:iCs w:val="0"/>
          <w:caps w:val="0"/>
          <w:smallCaps w:val="0"/>
          <w:noProof w:val="0"/>
          <w:color w:val="000000" w:themeColor="text1" w:themeTint="FF" w:themeShade="FF"/>
          <w:sz w:val="20"/>
          <w:szCs w:val="20"/>
          <w:lang w:val="es-CO"/>
        </w:rPr>
      </w:pPr>
      <w:r w:rsidR="09A82082">
        <w:drawing>
          <wp:inline wp14:editId="720E939D" wp14:anchorId="67D63BD2">
            <wp:extent cx="4029075" cy="1304925"/>
            <wp:effectExtent l="0" t="0" r="0" b="0"/>
            <wp:docPr id="185990886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59908860" name="Picture 1859908860"/>
                    <pic:cNvPicPr/>
                  </pic:nvPicPr>
                  <pic:blipFill>
                    <a:blip xmlns:r="http://schemas.openxmlformats.org/officeDocument/2006/relationships" r:embed="rId1483249033">
                      <a:extLst>
                        <a:ext uri="{28A0092B-C50C-407E-A947-70E740481C1C}">
                          <a14:useLocalDpi xmlns:a14="http://schemas.microsoft.com/office/drawing/2010/main"/>
                        </a:ext>
                      </a:extLst>
                    </a:blip>
                    <a:stretch>
                      <a:fillRect/>
                    </a:stretch>
                  </pic:blipFill>
                  <pic:spPr>
                    <a:xfrm>
                      <a:off x="0" y="0"/>
                      <a:ext cx="4029075" cy="1304925"/>
                    </a:xfrm>
                    <a:prstGeom prst="rect">
                      <a:avLst/>
                    </a:prstGeom>
                  </pic:spPr>
                </pic:pic>
              </a:graphicData>
            </a:graphic>
          </wp:inline>
        </w:drawing>
      </w:r>
    </w:p>
    <w:p w:rsidRPr="00F81469" w:rsidR="00B819E1" w:rsidP="3433DD88" w:rsidRDefault="004A78FD" w14:paraId="4ECF6F99" w14:textId="37E8383E">
      <w:pPr>
        <w:spacing w:after="120" w:line="264" w:lineRule="auto"/>
        <w:rPr>
          <w:rFonts w:ascii="Verdana" w:hAnsi="Verdana" w:eastAsia="Verdana" w:cs="Verdana"/>
          <w:b w:val="0"/>
          <w:bCs w:val="0"/>
          <w:i w:val="0"/>
          <w:iCs w:val="0"/>
          <w:caps w:val="0"/>
          <w:smallCaps w:val="0"/>
          <w:noProof w:val="0"/>
          <w:color w:val="000000" w:themeColor="text1" w:themeTint="FF" w:themeShade="FF"/>
          <w:sz w:val="22"/>
          <w:szCs w:val="22"/>
          <w:lang w:val="es-CO"/>
        </w:rPr>
      </w:pPr>
    </w:p>
    <w:p w:rsidRPr="00F81469" w:rsidR="00B819E1" w:rsidP="3433DD88" w:rsidRDefault="004A78FD" w14:paraId="1CD086A6" w14:textId="25EFA93F">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238DBE2C" w14:textId="07736518">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74BF7BA8" w14:textId="2BB042A5">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3433DD88" w:rsidRDefault="004A78FD" w14:paraId="4DE52DA0" w14:textId="303F35CD">
      <w:pPr>
        <w:pStyle w:val="Normal"/>
        <w:spacing w:after="0" w:line="240" w:lineRule="auto"/>
        <w:jc w:val="left"/>
        <w:rPr>
          <w:rFonts w:ascii="Arial Narrow" w:hAnsi="Arial Narrow" w:eastAsia="Times New Roman" w:cs="Arial"/>
          <w:b w:val="1"/>
          <w:bCs w:val="1"/>
          <w:sz w:val="24"/>
          <w:szCs w:val="24"/>
          <w:lang w:eastAsia="es-ES"/>
        </w:rPr>
      </w:pPr>
    </w:p>
    <w:p w:rsidR="3433DD88" w:rsidP="3433DD88" w:rsidRDefault="3433DD88" w14:paraId="0ED88829" w14:textId="2FE144FC">
      <w:pPr>
        <w:pStyle w:val="Normal"/>
        <w:spacing w:after="0" w:line="240" w:lineRule="auto"/>
        <w:jc w:val="left"/>
        <w:rPr>
          <w:rFonts w:ascii="Arial Narrow" w:hAnsi="Arial Narrow" w:eastAsia="Times New Roman" w:cs="Arial"/>
          <w:b w:val="1"/>
          <w:bCs w:val="1"/>
          <w:sz w:val="24"/>
          <w:szCs w:val="24"/>
          <w:lang w:eastAsia="es-ES"/>
        </w:rPr>
      </w:pPr>
    </w:p>
    <w:p w:rsidRPr="00F81469" w:rsidR="00B819E1" w:rsidP="00F42211" w:rsidRDefault="00B819E1" w14:paraId="3102A08D" w14:noSpellErr="1" w14:textId="660F453B">
      <w:pPr>
        <w:spacing w:after="0" w:line="240" w:lineRule="auto"/>
        <w:rPr>
          <w:rFonts w:ascii="Arial Narrow" w:hAnsi="Arial Narrow" w:eastAsia="Times New Roman" w:cs="Times New Roman"/>
          <w:noProof/>
          <w:sz w:val="20"/>
          <w:szCs w:val="20"/>
          <w:lang w:eastAsia="es-CO"/>
        </w:rPr>
      </w:pPr>
    </w:p>
    <w:p w:rsidRPr="00F81469" w:rsidR="00B819E1" w:rsidP="00F42211" w:rsidRDefault="00B819E1" w14:paraId="4AF33C57" w14:textId="77777777">
      <w:pPr>
        <w:spacing w:after="0" w:line="240" w:lineRule="auto"/>
        <w:rPr>
          <w:rFonts w:ascii="Arial Narrow" w:hAnsi="Arial Narrow" w:eastAsia="Times New Roman" w:cs="Times New Roman"/>
          <w:noProof/>
          <w:sz w:val="20"/>
          <w:szCs w:val="20"/>
          <w:lang w:eastAsia="es-CO"/>
        </w:rPr>
      </w:pPr>
    </w:p>
    <w:p w:rsidRPr="00F81469" w:rsidR="00B819E1" w:rsidP="43ACAF5B" w:rsidRDefault="006C368C" w14:paraId="6C2CE225" w14:textId="58EED9CF">
      <w:pPr>
        <w:pStyle w:val="Normal"/>
        <w:spacing w:after="0" w:line="240" w:lineRule="auto"/>
        <w:rPr>
          <w:rFonts w:ascii="Arial Narrow" w:hAnsi="Arial Narrow" w:eastAsia="Times New Roman" w:cs="Times New Roman"/>
          <w:sz w:val="20"/>
          <w:szCs w:val="20"/>
          <w:lang w:eastAsia="es-ES"/>
        </w:rPr>
      </w:pPr>
    </w:p>
    <w:p w:rsidR="3433DD88" w:rsidP="3433DD88" w:rsidRDefault="3433DD88" w14:paraId="0395DFD1" w14:textId="3F2975D3">
      <w:pPr>
        <w:pStyle w:val="Normal"/>
        <w:spacing w:after="0" w:line="240" w:lineRule="auto"/>
        <w:rPr>
          <w:rFonts w:ascii="Arial Narrow" w:hAnsi="Arial Narrow" w:eastAsia="Times New Roman" w:cs="Times New Roman"/>
          <w:sz w:val="20"/>
          <w:szCs w:val="20"/>
          <w:lang w:eastAsia="es-ES"/>
        </w:rPr>
      </w:pPr>
    </w:p>
    <w:p w:rsidR="006C368C" w:rsidP="65B0432F" w:rsidRDefault="006C368C" w14:paraId="7F4A93B0" w14:textId="2024E6F2">
      <w:pPr>
        <w:pStyle w:val="Normal"/>
        <w:spacing w:after="0" w:line="240" w:lineRule="auto"/>
      </w:pPr>
    </w:p>
    <w:sdt>
      <w:sdtPr>
        <w:rPr>
          <w:lang w:val="es-ES"/>
        </w:rPr>
        <w:id w:val="-212277383"/>
        <w:docPartObj>
          <w:docPartGallery w:val="Table of Contents"/>
          <w:docPartUnique/>
        </w:docPartObj>
      </w:sdtPr>
      <w:sdtEndPr>
        <w:rPr>
          <w:rFonts w:ascii="Calibri" w:hAnsi="Calibri" w:eastAsia="Calibri" w:cs="" w:asciiTheme="minorAscii" w:hAnsiTheme="minorAscii" w:eastAsiaTheme="minorAscii" w:cstheme="minorBidi"/>
          <w:b w:val="1"/>
          <w:bCs w:val="1"/>
          <w:color w:val="auto"/>
          <w:sz w:val="22"/>
          <w:szCs w:val="22"/>
          <w:lang w:val="es-ES" w:eastAsia="en-US"/>
        </w:rPr>
      </w:sdtEndPr>
      <w:sdtContent>
        <w:p w:rsidR="006C368C" w:rsidP="006C368C" w:rsidRDefault="006C368C" w14:paraId="6B10D47A" w14:textId="77777777">
          <w:pPr>
            <w:pStyle w:val="TtuloTDC"/>
            <w:rPr>
              <w:lang w:val="es-ES"/>
            </w:rPr>
          </w:pPr>
          <w:r>
            <w:rPr>
              <w:lang w:val="es-ES"/>
            </w:rPr>
            <w:t>Contenido</w:t>
          </w:r>
        </w:p>
        <w:p w:rsidRPr="00D15080" w:rsidR="006C368C" w:rsidP="006C368C" w:rsidRDefault="006C368C" w14:paraId="7FB42ACD" w14:textId="77777777">
          <w:pPr>
            <w:rPr>
              <w:lang w:val="es-ES" w:eastAsia="es-CO"/>
            </w:rPr>
          </w:pPr>
        </w:p>
        <w:p w:rsidR="006C368C" w:rsidP="006C368C" w:rsidRDefault="006C368C" w14:paraId="3DDAFCA0" w14:textId="77777777">
          <w:pPr>
            <w:pStyle w:val="TDC1"/>
            <w:tabs>
              <w:tab w:val="left" w:pos="720"/>
              <w:tab w:val="right" w:leader="dot" w:pos="8828"/>
            </w:tabs>
            <w:rPr>
              <w:noProof/>
            </w:rPr>
          </w:pPr>
          <w:r>
            <w:fldChar w:fldCharType="begin"/>
          </w:r>
          <w:r>
            <w:instrText xml:space="preserve"> TOC \o "1-3" \h \z \u </w:instrText>
          </w:r>
          <w:r>
            <w:fldChar w:fldCharType="separate"/>
          </w:r>
          <w:hyperlink w:history="1" w:anchor="_Toc234590971">
            <w:r w:rsidRPr="00A12178">
              <w:rPr>
                <w:rStyle w:val="Hipervnculo"/>
                <w:rFonts w:ascii="Verdana" w:hAnsi="Verdana" w:eastAsia="Verdana"/>
                <w:noProof/>
              </w:rPr>
              <w:t>1.</w:t>
            </w:r>
            <w:r>
              <w:rPr>
                <w:noProof/>
              </w:rPr>
              <w:tab/>
            </w:r>
            <w:r w:rsidRPr="00A12178">
              <w:rPr>
                <w:rStyle w:val="Hipervnculo"/>
                <w:rFonts w:ascii="Verdana" w:hAnsi="Verdana" w:eastAsia="Verdana"/>
                <w:noProof/>
              </w:rPr>
              <w:t>Antecedentes</w:t>
            </w:r>
            <w:r>
              <w:rPr>
                <w:noProof/>
                <w:webHidden/>
              </w:rPr>
              <w:tab/>
            </w:r>
            <w:r>
              <w:rPr>
                <w:noProof/>
                <w:webHidden/>
              </w:rPr>
              <w:fldChar w:fldCharType="begin"/>
            </w:r>
            <w:r>
              <w:rPr>
                <w:noProof/>
                <w:webHidden/>
              </w:rPr>
              <w:instrText xml:space="preserve"> PAGEREF _Toc234590971 \h </w:instrText>
            </w:r>
            <w:r>
              <w:rPr>
                <w:noProof/>
                <w:webHidden/>
              </w:rPr>
            </w:r>
            <w:r>
              <w:rPr>
                <w:noProof/>
                <w:webHidden/>
              </w:rPr>
              <w:fldChar w:fldCharType="separate"/>
            </w:r>
            <w:r>
              <w:rPr>
                <w:noProof/>
                <w:webHidden/>
              </w:rPr>
              <w:t>2</w:t>
            </w:r>
            <w:r>
              <w:rPr>
                <w:noProof/>
                <w:webHidden/>
              </w:rPr>
              <w:fldChar w:fldCharType="end"/>
            </w:r>
          </w:hyperlink>
        </w:p>
        <w:p w:rsidR="006C368C" w:rsidP="006C368C" w:rsidRDefault="006C368C" w14:paraId="151A4D3C" w14:textId="77777777">
          <w:pPr>
            <w:pStyle w:val="TDC2"/>
            <w:tabs>
              <w:tab w:val="left" w:pos="1200"/>
              <w:tab w:val="right" w:leader="dot" w:pos="8828"/>
            </w:tabs>
            <w:rPr>
              <w:noProof/>
            </w:rPr>
          </w:pPr>
          <w:hyperlink w:history="1" w:anchor="_Toc234590972">
            <w:r w:rsidRPr="00A12178">
              <w:rPr>
                <w:rStyle w:val="Hipervnculo"/>
                <w:rFonts w:ascii="Verdana" w:hAnsi="Verdana" w:eastAsia="Verdana"/>
                <w:b/>
                <w:bCs/>
                <w:noProof/>
              </w:rPr>
              <w:t>1.1.</w:t>
            </w:r>
            <w:r>
              <w:rPr>
                <w:noProof/>
              </w:rPr>
              <w:tab/>
            </w:r>
            <w:r w:rsidRPr="00A12178">
              <w:rPr>
                <w:rStyle w:val="Hipervnculo"/>
                <w:rFonts w:ascii="Verdana" w:hAnsi="Verdana" w:eastAsia="Verdana"/>
                <w:b/>
                <w:bCs/>
                <w:noProof/>
              </w:rPr>
              <w:t>Sentencia T-361 de 2017.</w:t>
            </w:r>
            <w:r>
              <w:rPr>
                <w:noProof/>
                <w:webHidden/>
              </w:rPr>
              <w:tab/>
            </w:r>
            <w:r>
              <w:rPr>
                <w:noProof/>
                <w:webHidden/>
              </w:rPr>
              <w:fldChar w:fldCharType="begin"/>
            </w:r>
            <w:r>
              <w:rPr>
                <w:noProof/>
                <w:webHidden/>
              </w:rPr>
              <w:instrText xml:space="preserve"> PAGEREF _Toc234590972 \h </w:instrText>
            </w:r>
            <w:r>
              <w:rPr>
                <w:noProof/>
                <w:webHidden/>
              </w:rPr>
            </w:r>
            <w:r>
              <w:rPr>
                <w:noProof/>
                <w:webHidden/>
              </w:rPr>
              <w:fldChar w:fldCharType="separate"/>
            </w:r>
            <w:r>
              <w:rPr>
                <w:noProof/>
                <w:webHidden/>
              </w:rPr>
              <w:t>2</w:t>
            </w:r>
            <w:r>
              <w:rPr>
                <w:noProof/>
                <w:webHidden/>
              </w:rPr>
              <w:fldChar w:fldCharType="end"/>
            </w:r>
          </w:hyperlink>
        </w:p>
        <w:p w:rsidR="006C368C" w:rsidP="006C368C" w:rsidRDefault="006C368C" w14:paraId="2D11B8BC" w14:textId="77777777">
          <w:pPr>
            <w:pStyle w:val="TDC2"/>
            <w:tabs>
              <w:tab w:val="left" w:pos="1200"/>
              <w:tab w:val="right" w:leader="dot" w:pos="8828"/>
            </w:tabs>
            <w:rPr>
              <w:noProof/>
            </w:rPr>
          </w:pPr>
          <w:hyperlink w:history="1" w:anchor="_Toc234590973">
            <w:r w:rsidRPr="00A12178">
              <w:rPr>
                <w:rStyle w:val="Hipervnculo"/>
                <w:rFonts w:ascii="Verdana" w:hAnsi="Verdana" w:eastAsia="Verdana"/>
                <w:b/>
                <w:bCs/>
                <w:noProof/>
              </w:rPr>
              <w:t>1.2.</w:t>
            </w:r>
            <w:r>
              <w:rPr>
                <w:noProof/>
              </w:rPr>
              <w:tab/>
            </w:r>
            <w:r w:rsidRPr="00A12178">
              <w:rPr>
                <w:rStyle w:val="Hipervnculo"/>
                <w:rFonts w:ascii="Verdana" w:hAnsi="Verdana" w:eastAsia="Verdana"/>
                <w:b/>
                <w:bCs/>
                <w:noProof/>
              </w:rPr>
              <w:t>Marco normativo aplicable.</w:t>
            </w:r>
            <w:r>
              <w:rPr>
                <w:noProof/>
                <w:webHidden/>
              </w:rPr>
              <w:tab/>
            </w:r>
            <w:r>
              <w:rPr>
                <w:noProof/>
                <w:webHidden/>
              </w:rPr>
              <w:fldChar w:fldCharType="begin"/>
            </w:r>
            <w:r>
              <w:rPr>
                <w:noProof/>
                <w:webHidden/>
              </w:rPr>
              <w:instrText xml:space="preserve"> PAGEREF _Toc234590973 \h </w:instrText>
            </w:r>
            <w:r>
              <w:rPr>
                <w:noProof/>
                <w:webHidden/>
              </w:rPr>
            </w:r>
            <w:r>
              <w:rPr>
                <w:noProof/>
                <w:webHidden/>
              </w:rPr>
              <w:fldChar w:fldCharType="separate"/>
            </w:r>
            <w:r>
              <w:rPr>
                <w:noProof/>
                <w:webHidden/>
              </w:rPr>
              <w:t>2</w:t>
            </w:r>
            <w:r>
              <w:rPr>
                <w:noProof/>
                <w:webHidden/>
              </w:rPr>
              <w:fldChar w:fldCharType="end"/>
            </w:r>
          </w:hyperlink>
        </w:p>
        <w:p w:rsidR="006C368C" w:rsidP="006C368C" w:rsidRDefault="006C368C" w14:paraId="1BE8D825" w14:textId="77777777">
          <w:pPr>
            <w:pStyle w:val="TDC2"/>
            <w:tabs>
              <w:tab w:val="left" w:pos="1200"/>
              <w:tab w:val="right" w:leader="dot" w:pos="8828"/>
            </w:tabs>
            <w:rPr>
              <w:noProof/>
            </w:rPr>
          </w:pPr>
          <w:hyperlink w:history="1" w:anchor="_Toc234590974">
            <w:r w:rsidRPr="00A12178">
              <w:rPr>
                <w:rStyle w:val="Hipervnculo"/>
                <w:rFonts w:ascii="Verdana" w:hAnsi="Verdana" w:eastAsia="Verdana" w:cs="Verdana"/>
                <w:b/>
                <w:bCs/>
                <w:noProof/>
              </w:rPr>
              <w:t>1.3.</w:t>
            </w:r>
            <w:r>
              <w:rPr>
                <w:noProof/>
              </w:rPr>
              <w:tab/>
            </w:r>
            <w:r w:rsidRPr="00A12178">
              <w:rPr>
                <w:rStyle w:val="Hipervnculo"/>
                <w:rFonts w:ascii="Verdana" w:hAnsi="Verdana" w:eastAsia="Verdana"/>
                <w:b/>
                <w:bCs/>
                <w:noProof/>
              </w:rPr>
              <w:t>Objeto y alcance del documento.</w:t>
            </w:r>
            <w:r>
              <w:rPr>
                <w:noProof/>
                <w:webHidden/>
              </w:rPr>
              <w:tab/>
            </w:r>
            <w:r>
              <w:rPr>
                <w:noProof/>
                <w:webHidden/>
              </w:rPr>
              <w:fldChar w:fldCharType="begin"/>
            </w:r>
            <w:r>
              <w:rPr>
                <w:noProof/>
                <w:webHidden/>
              </w:rPr>
              <w:instrText xml:space="preserve"> PAGEREF _Toc234590974 \h </w:instrText>
            </w:r>
            <w:r>
              <w:rPr>
                <w:noProof/>
                <w:webHidden/>
              </w:rPr>
            </w:r>
            <w:r>
              <w:rPr>
                <w:noProof/>
                <w:webHidden/>
              </w:rPr>
              <w:fldChar w:fldCharType="separate"/>
            </w:r>
            <w:r>
              <w:rPr>
                <w:noProof/>
                <w:webHidden/>
              </w:rPr>
              <w:t>6</w:t>
            </w:r>
            <w:r>
              <w:rPr>
                <w:noProof/>
                <w:webHidden/>
              </w:rPr>
              <w:fldChar w:fldCharType="end"/>
            </w:r>
          </w:hyperlink>
        </w:p>
        <w:p w:rsidR="006C368C" w:rsidP="006C368C" w:rsidRDefault="006C368C" w14:paraId="4EB8C0BB" w14:textId="77777777">
          <w:pPr>
            <w:pStyle w:val="TDC1"/>
            <w:tabs>
              <w:tab w:val="left" w:pos="720"/>
              <w:tab w:val="right" w:leader="dot" w:pos="8828"/>
            </w:tabs>
            <w:rPr>
              <w:noProof/>
            </w:rPr>
          </w:pPr>
          <w:hyperlink w:history="1" w:anchor="_Toc234590975">
            <w:r w:rsidRPr="00A12178">
              <w:rPr>
                <w:rStyle w:val="Hipervnculo"/>
                <w:rFonts w:ascii="Verdana" w:hAnsi="Verdana" w:eastAsia="Verdana"/>
                <w:noProof/>
              </w:rPr>
              <w:t>2.</w:t>
            </w:r>
            <w:r>
              <w:rPr>
                <w:noProof/>
              </w:rPr>
              <w:tab/>
            </w:r>
            <w:r w:rsidRPr="00A12178">
              <w:rPr>
                <w:rStyle w:val="Hipervnculo"/>
                <w:rFonts w:ascii="Verdana" w:hAnsi="Verdana" w:eastAsia="Verdana"/>
                <w:noProof/>
              </w:rPr>
              <w:t>Propuesta integrada producto de la fase de consulta e iniciativa.</w:t>
            </w:r>
            <w:r>
              <w:rPr>
                <w:noProof/>
                <w:webHidden/>
              </w:rPr>
              <w:tab/>
            </w:r>
            <w:r>
              <w:rPr>
                <w:noProof/>
                <w:webHidden/>
              </w:rPr>
              <w:fldChar w:fldCharType="begin"/>
            </w:r>
            <w:r>
              <w:rPr>
                <w:noProof/>
                <w:webHidden/>
              </w:rPr>
              <w:instrText xml:space="preserve"> PAGEREF _Toc234590975 \h </w:instrText>
            </w:r>
            <w:r>
              <w:rPr>
                <w:noProof/>
                <w:webHidden/>
              </w:rPr>
            </w:r>
            <w:r>
              <w:rPr>
                <w:noProof/>
                <w:webHidden/>
              </w:rPr>
              <w:fldChar w:fldCharType="separate"/>
            </w:r>
            <w:r>
              <w:rPr>
                <w:noProof/>
                <w:webHidden/>
              </w:rPr>
              <w:t>6</w:t>
            </w:r>
            <w:r>
              <w:rPr>
                <w:noProof/>
                <w:webHidden/>
              </w:rPr>
              <w:fldChar w:fldCharType="end"/>
            </w:r>
          </w:hyperlink>
        </w:p>
        <w:p w:rsidR="006C368C" w:rsidP="006C368C" w:rsidRDefault="006C368C" w14:paraId="20C6B61A" w14:textId="77777777">
          <w:pPr>
            <w:pStyle w:val="TDC2"/>
            <w:tabs>
              <w:tab w:val="left" w:pos="1200"/>
              <w:tab w:val="right" w:leader="dot" w:pos="8828"/>
            </w:tabs>
            <w:rPr>
              <w:noProof/>
            </w:rPr>
          </w:pPr>
          <w:hyperlink w:history="1" w:anchor="_Toc234590976">
            <w:r w:rsidRPr="00A12178">
              <w:rPr>
                <w:rStyle w:val="Hipervnculo"/>
                <w:rFonts w:ascii="Verdana" w:hAnsi="Verdana" w:eastAsia="Verdana"/>
                <w:b/>
                <w:bCs/>
                <w:noProof/>
              </w:rPr>
              <w:t>2.1.</w:t>
            </w:r>
            <w:r>
              <w:rPr>
                <w:noProof/>
              </w:rPr>
              <w:tab/>
            </w:r>
            <w:r w:rsidRPr="00A12178">
              <w:rPr>
                <w:rStyle w:val="Hipervnculo"/>
                <w:rFonts w:ascii="Verdana" w:hAnsi="Verdana" w:eastAsia="Verdana"/>
                <w:b/>
                <w:bCs/>
                <w:noProof/>
              </w:rPr>
              <w:t>Propuesta de lineamientos para los programas de reconversión y sustitución de actividades agropecuarias.</w:t>
            </w:r>
            <w:r>
              <w:rPr>
                <w:noProof/>
                <w:webHidden/>
              </w:rPr>
              <w:tab/>
            </w:r>
            <w:r>
              <w:rPr>
                <w:noProof/>
                <w:webHidden/>
              </w:rPr>
              <w:fldChar w:fldCharType="begin"/>
            </w:r>
            <w:r>
              <w:rPr>
                <w:noProof/>
                <w:webHidden/>
              </w:rPr>
              <w:instrText xml:space="preserve"> PAGEREF _Toc234590976 \h </w:instrText>
            </w:r>
            <w:r>
              <w:rPr>
                <w:noProof/>
                <w:webHidden/>
              </w:rPr>
            </w:r>
            <w:r>
              <w:rPr>
                <w:noProof/>
                <w:webHidden/>
              </w:rPr>
              <w:fldChar w:fldCharType="separate"/>
            </w:r>
            <w:r>
              <w:rPr>
                <w:noProof/>
                <w:webHidden/>
              </w:rPr>
              <w:t>6</w:t>
            </w:r>
            <w:r>
              <w:rPr>
                <w:noProof/>
                <w:webHidden/>
              </w:rPr>
              <w:fldChar w:fldCharType="end"/>
            </w:r>
          </w:hyperlink>
        </w:p>
        <w:p w:rsidR="006C368C" w:rsidP="006C368C" w:rsidRDefault="006C368C" w14:paraId="0244DA11" w14:textId="77777777">
          <w:pPr>
            <w:pStyle w:val="TDC2"/>
            <w:tabs>
              <w:tab w:val="left" w:pos="1200"/>
              <w:tab w:val="right" w:leader="dot" w:pos="8828"/>
            </w:tabs>
            <w:rPr>
              <w:noProof/>
            </w:rPr>
          </w:pPr>
          <w:hyperlink w:history="1" w:anchor="_Toc234590977">
            <w:r w:rsidRPr="00A12178">
              <w:rPr>
                <w:rStyle w:val="Hipervnculo"/>
                <w:rFonts w:ascii="Verdana" w:hAnsi="Verdana" w:eastAsia="Verdana" w:cs="Verdana"/>
                <w:b/>
                <w:bCs/>
                <w:noProof/>
              </w:rPr>
              <w:t>2.2.</w:t>
            </w:r>
            <w:r>
              <w:rPr>
                <w:noProof/>
              </w:rPr>
              <w:tab/>
            </w:r>
            <w:r w:rsidRPr="00A12178">
              <w:rPr>
                <w:rStyle w:val="Hipervnculo"/>
                <w:rFonts w:ascii="Verdana" w:hAnsi="Verdana" w:eastAsia="Verdana"/>
                <w:b/>
                <w:bCs/>
                <w:noProof/>
              </w:rPr>
              <w:t>Lineamientos para el sector agropecuario</w:t>
            </w:r>
            <w:r>
              <w:rPr>
                <w:noProof/>
                <w:webHidden/>
              </w:rPr>
              <w:tab/>
            </w:r>
            <w:r>
              <w:rPr>
                <w:noProof/>
                <w:webHidden/>
              </w:rPr>
              <w:fldChar w:fldCharType="begin"/>
            </w:r>
            <w:r>
              <w:rPr>
                <w:noProof/>
                <w:webHidden/>
              </w:rPr>
              <w:instrText xml:space="preserve"> PAGEREF _Toc234590977 \h </w:instrText>
            </w:r>
            <w:r>
              <w:rPr>
                <w:noProof/>
                <w:webHidden/>
              </w:rPr>
            </w:r>
            <w:r>
              <w:rPr>
                <w:noProof/>
                <w:webHidden/>
              </w:rPr>
              <w:fldChar w:fldCharType="separate"/>
            </w:r>
            <w:r>
              <w:rPr>
                <w:noProof/>
                <w:webHidden/>
              </w:rPr>
              <w:t>6</w:t>
            </w:r>
            <w:r>
              <w:rPr>
                <w:noProof/>
                <w:webHidden/>
              </w:rPr>
              <w:fldChar w:fldCharType="end"/>
            </w:r>
          </w:hyperlink>
        </w:p>
        <w:p w:rsidR="006C368C" w:rsidP="006C368C" w:rsidRDefault="006C368C" w14:paraId="266E70C1" w14:textId="77777777">
          <w:pPr>
            <w:pStyle w:val="TDC2"/>
            <w:tabs>
              <w:tab w:val="left" w:pos="1200"/>
              <w:tab w:val="right" w:leader="dot" w:pos="8828"/>
            </w:tabs>
            <w:rPr>
              <w:noProof/>
            </w:rPr>
          </w:pPr>
          <w:hyperlink w:history="1" w:anchor="_Toc234590978">
            <w:r w:rsidRPr="00A12178">
              <w:rPr>
                <w:rStyle w:val="Hipervnculo"/>
                <w:rFonts w:ascii="Verdana" w:hAnsi="Verdana" w:eastAsia="Verdana" w:cs="Verdana"/>
                <w:b/>
                <w:bCs/>
                <w:noProof/>
              </w:rPr>
              <w:t>2.3.</w:t>
            </w:r>
            <w:r>
              <w:rPr>
                <w:noProof/>
              </w:rPr>
              <w:tab/>
            </w:r>
            <w:r w:rsidRPr="00A12178">
              <w:rPr>
                <w:rStyle w:val="Hipervnculo"/>
                <w:rFonts w:ascii="Verdana" w:hAnsi="Verdana" w:eastAsia="Verdana"/>
                <w:b/>
                <w:bCs/>
                <w:noProof/>
              </w:rPr>
              <w:t>Tipologías productivas y alternativas de reconversión</w:t>
            </w:r>
            <w:r>
              <w:rPr>
                <w:noProof/>
                <w:webHidden/>
              </w:rPr>
              <w:tab/>
            </w:r>
            <w:r>
              <w:rPr>
                <w:noProof/>
                <w:webHidden/>
              </w:rPr>
              <w:fldChar w:fldCharType="begin"/>
            </w:r>
            <w:r>
              <w:rPr>
                <w:noProof/>
                <w:webHidden/>
              </w:rPr>
              <w:instrText xml:space="preserve"> PAGEREF _Toc234590978 \h </w:instrText>
            </w:r>
            <w:r>
              <w:rPr>
                <w:noProof/>
                <w:webHidden/>
              </w:rPr>
            </w:r>
            <w:r>
              <w:rPr>
                <w:noProof/>
                <w:webHidden/>
              </w:rPr>
              <w:fldChar w:fldCharType="separate"/>
            </w:r>
            <w:r>
              <w:rPr>
                <w:noProof/>
                <w:webHidden/>
              </w:rPr>
              <w:t>7</w:t>
            </w:r>
            <w:r>
              <w:rPr>
                <w:noProof/>
                <w:webHidden/>
              </w:rPr>
              <w:fldChar w:fldCharType="end"/>
            </w:r>
          </w:hyperlink>
        </w:p>
        <w:p w:rsidR="006C368C" w:rsidP="006C368C" w:rsidRDefault="006C368C" w14:paraId="75E866E4" w14:textId="77777777">
          <w:pPr>
            <w:pStyle w:val="TDC1"/>
            <w:tabs>
              <w:tab w:val="left" w:pos="720"/>
              <w:tab w:val="right" w:leader="dot" w:pos="8828"/>
            </w:tabs>
            <w:rPr>
              <w:noProof/>
            </w:rPr>
          </w:pPr>
          <w:hyperlink w:history="1" w:anchor="_Toc234590979">
            <w:r w:rsidRPr="00A12178">
              <w:rPr>
                <w:rStyle w:val="Hipervnculo"/>
                <w:rFonts w:ascii="Verdana" w:hAnsi="Verdana" w:eastAsia="Verdana"/>
                <w:noProof/>
              </w:rPr>
              <w:t>3.</w:t>
            </w:r>
            <w:r>
              <w:rPr>
                <w:noProof/>
              </w:rPr>
              <w:tab/>
            </w:r>
            <w:r w:rsidRPr="00A12178">
              <w:rPr>
                <w:rStyle w:val="Hipervnculo"/>
                <w:rFonts w:ascii="Verdana" w:hAnsi="Verdana" w:eastAsia="Verdana"/>
                <w:noProof/>
              </w:rPr>
              <w:t>Fase de Concertación</w:t>
            </w:r>
            <w:r>
              <w:rPr>
                <w:noProof/>
                <w:webHidden/>
              </w:rPr>
              <w:tab/>
            </w:r>
            <w:r>
              <w:rPr>
                <w:noProof/>
                <w:webHidden/>
              </w:rPr>
              <w:fldChar w:fldCharType="begin"/>
            </w:r>
            <w:r>
              <w:rPr>
                <w:noProof/>
                <w:webHidden/>
              </w:rPr>
              <w:instrText xml:space="preserve"> PAGEREF _Toc234590979 \h </w:instrText>
            </w:r>
            <w:r>
              <w:rPr>
                <w:noProof/>
                <w:webHidden/>
              </w:rPr>
            </w:r>
            <w:r>
              <w:rPr>
                <w:noProof/>
                <w:webHidden/>
              </w:rPr>
              <w:fldChar w:fldCharType="separate"/>
            </w:r>
            <w:r>
              <w:rPr>
                <w:noProof/>
                <w:webHidden/>
              </w:rPr>
              <w:t>8</w:t>
            </w:r>
            <w:r>
              <w:rPr>
                <w:noProof/>
                <w:webHidden/>
              </w:rPr>
              <w:fldChar w:fldCharType="end"/>
            </w:r>
          </w:hyperlink>
        </w:p>
        <w:p w:rsidR="006C368C" w:rsidP="006C368C" w:rsidRDefault="006C368C" w14:paraId="6FC0344F" w14:textId="77777777">
          <w:pPr>
            <w:pStyle w:val="TDC2"/>
            <w:tabs>
              <w:tab w:val="left" w:pos="1200"/>
              <w:tab w:val="right" w:leader="dot" w:pos="8828"/>
            </w:tabs>
            <w:rPr>
              <w:noProof/>
            </w:rPr>
          </w:pPr>
          <w:hyperlink w:history="1" w:anchor="_Toc234590980">
            <w:r w:rsidRPr="00A12178">
              <w:rPr>
                <w:rStyle w:val="Hipervnculo"/>
                <w:rFonts w:ascii="Verdana" w:hAnsi="Verdana" w:eastAsia="Verdana"/>
                <w:b/>
                <w:bCs/>
                <w:noProof/>
              </w:rPr>
              <w:t>3.1.</w:t>
            </w:r>
            <w:r>
              <w:rPr>
                <w:noProof/>
              </w:rPr>
              <w:tab/>
            </w:r>
            <w:r w:rsidRPr="00A12178">
              <w:rPr>
                <w:rStyle w:val="Hipervnculo"/>
                <w:rFonts w:ascii="Verdana" w:hAnsi="Verdana" w:eastAsia="Verdana"/>
                <w:b/>
                <w:bCs/>
                <w:noProof/>
              </w:rPr>
              <w:t>Análisis de participación en la fase de concertación</w:t>
            </w:r>
            <w:r>
              <w:rPr>
                <w:noProof/>
                <w:webHidden/>
              </w:rPr>
              <w:tab/>
            </w:r>
            <w:r>
              <w:rPr>
                <w:noProof/>
                <w:webHidden/>
              </w:rPr>
              <w:fldChar w:fldCharType="begin"/>
            </w:r>
            <w:r>
              <w:rPr>
                <w:noProof/>
                <w:webHidden/>
              </w:rPr>
              <w:instrText xml:space="preserve"> PAGEREF _Toc234590980 \h </w:instrText>
            </w:r>
            <w:r>
              <w:rPr>
                <w:noProof/>
                <w:webHidden/>
              </w:rPr>
            </w:r>
            <w:r>
              <w:rPr>
                <w:noProof/>
                <w:webHidden/>
              </w:rPr>
              <w:fldChar w:fldCharType="separate"/>
            </w:r>
            <w:r>
              <w:rPr>
                <w:noProof/>
                <w:webHidden/>
              </w:rPr>
              <w:t>1</w:t>
            </w:r>
            <w:r>
              <w:rPr>
                <w:noProof/>
                <w:webHidden/>
              </w:rPr>
              <w:fldChar w:fldCharType="end"/>
            </w:r>
          </w:hyperlink>
        </w:p>
        <w:p w:rsidR="006C368C" w:rsidP="006C368C" w:rsidRDefault="006C368C" w14:paraId="3BA3A1BA" w14:textId="77777777">
          <w:r>
            <w:rPr>
              <w:b/>
              <w:bCs/>
              <w:lang w:val="es-ES"/>
            </w:rPr>
            <w:fldChar w:fldCharType="end"/>
          </w:r>
        </w:p>
      </w:sdtContent>
    </w:sdt>
    <w:p w:rsidR="006C368C" w:rsidP="006C368C" w:rsidRDefault="006C368C" w14:paraId="0F802D1F" w14:textId="77777777">
      <w:pPr>
        <w:rPr>
          <w:rFonts w:ascii="Verdana" w:hAnsi="Verdana" w:eastAsia="Verdana" w:cs="Verdana"/>
          <w:lang w:val="es-ES" w:eastAsia="es-ES"/>
        </w:rPr>
      </w:pPr>
      <w:r>
        <w:rPr>
          <w:rFonts w:ascii="Verdana" w:hAnsi="Verdana" w:eastAsia="Verdana" w:cs="Verdana"/>
          <w:lang w:val="es-ES" w:eastAsia="es-ES"/>
        </w:rPr>
        <w:br w:type="page"/>
      </w:r>
    </w:p>
    <w:p w:rsidRPr="006C368C" w:rsidR="006C368C" w:rsidRDefault="006C368C" w14:paraId="434FBBDA" w14:textId="77777777">
      <w:pPr>
        <w:pStyle w:val="Ttulo1"/>
        <w:numPr>
          <w:ilvl w:val="0"/>
          <w:numId w:val="2"/>
        </w:numPr>
        <w:ind w:left="900" w:hanging="720"/>
        <w:rPr>
          <w:rFonts w:ascii="Verdana" w:hAnsi="Verdana"/>
          <w:color w:val="000000" w:themeColor="text1"/>
          <w:sz w:val="22"/>
          <w:szCs w:val="22"/>
        </w:rPr>
      </w:pPr>
      <w:bookmarkStart w:name="_Toc234590971" w:id="2"/>
      <w:proofErr w:type="spellStart"/>
      <w:r w:rsidRPr="006C368C">
        <w:rPr>
          <w:rFonts w:ascii="Verdana" w:hAnsi="Verdana"/>
          <w:color w:val="000000" w:themeColor="text1"/>
          <w:sz w:val="22"/>
          <w:szCs w:val="22"/>
        </w:rPr>
        <w:t>Antecedentes</w:t>
      </w:r>
      <w:bookmarkEnd w:id="2"/>
      <w:proofErr w:type="spellEnd"/>
      <w:r w:rsidRPr="006C368C">
        <w:rPr>
          <w:rFonts w:ascii="Verdana" w:hAnsi="Verdana"/>
          <w:color w:val="000000" w:themeColor="text1"/>
          <w:sz w:val="22"/>
          <w:szCs w:val="22"/>
        </w:rPr>
        <w:t xml:space="preserve"> </w:t>
      </w:r>
    </w:p>
    <w:p w:rsidR="006C368C" w:rsidP="006C368C" w:rsidRDefault="006C368C" w14:paraId="64E67FDF" w14:textId="77777777">
      <w:pPr>
        <w:spacing w:after="5" w:line="267" w:lineRule="auto"/>
        <w:ind w:left="360"/>
        <w:rPr>
          <w:rFonts w:ascii="Arial" w:hAnsi="Arial" w:eastAsia="Arial" w:cs="Arial"/>
        </w:rPr>
      </w:pPr>
    </w:p>
    <w:p w:rsidRPr="006C368C" w:rsidR="006C368C" w:rsidRDefault="006C368C" w14:paraId="79C47A81" w14:textId="77777777">
      <w:pPr>
        <w:pStyle w:val="Ttulo2"/>
        <w:numPr>
          <w:ilvl w:val="1"/>
          <w:numId w:val="2"/>
        </w:numPr>
        <w:ind w:left="900"/>
        <w:rPr>
          <w:rFonts w:ascii="Verdana" w:hAnsi="Verdana"/>
        </w:rPr>
      </w:pPr>
      <w:bookmarkStart w:name="_Toc234590972" w:id="3"/>
      <w:proofErr w:type="spellStart"/>
      <w:r w:rsidRPr="006C368C">
        <w:rPr>
          <w:rFonts w:ascii="Verdana" w:hAnsi="Verdana"/>
          <w:color w:val="000000" w:themeColor="text1"/>
        </w:rPr>
        <w:t>Sentencia</w:t>
      </w:r>
      <w:proofErr w:type="spellEnd"/>
      <w:r w:rsidRPr="006C368C">
        <w:rPr>
          <w:rFonts w:ascii="Verdana" w:hAnsi="Verdana"/>
          <w:color w:val="000000" w:themeColor="text1"/>
        </w:rPr>
        <w:t xml:space="preserve"> T-361 de 2017.</w:t>
      </w:r>
      <w:bookmarkEnd w:id="3"/>
      <w:r w:rsidRPr="006C368C">
        <w:rPr>
          <w:rFonts w:ascii="Verdana" w:hAnsi="Verdana"/>
          <w:color w:val="000000" w:themeColor="text1"/>
        </w:rPr>
        <w:t xml:space="preserve"> </w:t>
      </w:r>
    </w:p>
    <w:p w:rsidR="006C368C" w:rsidP="006C368C" w:rsidRDefault="006C368C" w14:paraId="019CA7AB" w14:textId="77777777">
      <w:pPr>
        <w:spacing w:after="16"/>
        <w:ind w:left="720"/>
        <w:rPr>
          <w:rFonts w:ascii="Verdana" w:hAnsi="Verdana" w:eastAsia="Verdana" w:cs="Verdana"/>
          <w:b/>
          <w:bCs/>
        </w:rPr>
      </w:pPr>
      <w:r w:rsidRPr="7291CF42">
        <w:rPr>
          <w:rFonts w:ascii="Verdana" w:hAnsi="Verdana" w:eastAsia="Verdana" w:cs="Verdana"/>
          <w:b/>
          <w:bCs/>
        </w:rPr>
        <w:t xml:space="preserve"> </w:t>
      </w:r>
    </w:p>
    <w:p w:rsidR="006C368C" w:rsidP="006C368C" w:rsidRDefault="006C368C" w14:paraId="71D907E3" w14:textId="77777777">
      <w:pPr>
        <w:spacing w:after="5" w:line="249" w:lineRule="auto"/>
        <w:jc w:val="both"/>
        <w:rPr>
          <w:rFonts w:ascii="Verdana" w:hAnsi="Verdana" w:eastAsia="Verdana" w:cs="Verdana"/>
        </w:rPr>
      </w:pPr>
      <w:r w:rsidRPr="7291CF42">
        <w:rPr>
          <w:rFonts w:ascii="Verdana" w:hAnsi="Verdana" w:eastAsia="Verdana" w:cs="Verdana"/>
        </w:rPr>
        <w:t xml:space="preserve">Para este ineludible, la Sentencia T-361 de 2017, señala que:  </w:t>
      </w:r>
    </w:p>
    <w:p w:rsidR="006C368C" w:rsidP="006C368C" w:rsidRDefault="006C368C" w14:paraId="2E107538" w14:textId="77777777">
      <w:pPr>
        <w:spacing w:after="16"/>
        <w:ind w:left="295"/>
        <w:rPr>
          <w:rFonts w:ascii="Verdana" w:hAnsi="Verdana" w:eastAsia="Verdana" w:cs="Verdana"/>
          <w:i/>
          <w:iCs/>
        </w:rPr>
      </w:pPr>
      <w:r w:rsidRPr="7291CF42">
        <w:rPr>
          <w:rFonts w:ascii="Verdana" w:hAnsi="Verdana" w:eastAsia="Verdana" w:cs="Verdana"/>
          <w:i/>
          <w:iCs/>
        </w:rPr>
        <w:t xml:space="preserve"> </w:t>
      </w:r>
    </w:p>
    <w:p w:rsidR="006C368C" w:rsidP="3D8C40D4" w:rsidRDefault="006C368C" w14:paraId="351E41D1" w14:textId="6CF0DE89">
      <w:pPr>
        <w:spacing w:after="4" w:line="267" w:lineRule="auto"/>
        <w:ind/>
        <w:jc w:val="both"/>
      </w:pPr>
      <w:r w:rsidRPr="3D8C40D4" w:rsidR="09591EFF">
        <w:rPr>
          <w:rFonts w:ascii="Verdana" w:hAnsi="Verdana" w:eastAsia="Verdana" w:cs="Verdana"/>
          <w:i w:val="1"/>
          <w:iCs w:val="1"/>
        </w:rPr>
        <w:t xml:space="preserve">“(…) En segundo lugar, derivado de las prohibiciones de actividades agropecuarias que se vayan a consagrar en la nueva resolución de delimitación, el MADS deberá diseñar o crear un programa de reconvención o sustitución de dichas labores, proceso en el cual deberán participar el Ministerio de Minas y Energía, y el Ministerio de Agricultura y Desarrollo Rural (…)”  </w:t>
      </w:r>
    </w:p>
    <w:p w:rsidR="3D8C40D4" w:rsidP="3D8C40D4" w:rsidRDefault="3D8C40D4" w14:paraId="3561A3F8" w14:textId="2B98D163">
      <w:pPr>
        <w:spacing w:after="4" w:line="267" w:lineRule="auto"/>
        <w:jc w:val="both"/>
        <w:rPr>
          <w:rFonts w:ascii="Verdana" w:hAnsi="Verdana" w:eastAsia="Verdana" w:cs="Verdana"/>
          <w:i w:val="1"/>
          <w:iCs w:val="1"/>
        </w:rPr>
      </w:pPr>
    </w:p>
    <w:p w:rsidR="006C368C" w:rsidP="43ACAF5B" w:rsidRDefault="006C368C" w14:paraId="10A6AC47" w14:textId="12D911B9">
      <w:pPr>
        <w:spacing w:after="5" w:line="267" w:lineRule="auto"/>
        <w:jc w:val="both"/>
      </w:pPr>
      <w:r w:rsidRPr="3D8C40D4" w:rsidR="65FB2A5A">
        <w:rPr>
          <w:rFonts w:ascii="Verdana" w:hAnsi="Verdana" w:eastAsia="Verdana" w:cs="Verdana"/>
          <w:i w:val="1"/>
          <w:iCs w:val="1"/>
        </w:rPr>
        <w:t xml:space="preserve">“(…) La Corte no desconoce que los por menores y precisiones de las políticas de reconversión y sustitución de actividades deben ser desarrollados en diferentes actos administrativos y demás reglamentaciones, al punto que la totalidad del plan no puede quedar plasmado en la resolución de delimitación. </w:t>
      </w:r>
      <w:r w:rsidRPr="3D8C40D4" w:rsidR="65FB2A5A">
        <w:rPr>
          <w:rFonts w:ascii="Verdana" w:hAnsi="Verdana" w:eastAsia="Verdana" w:cs="Verdana"/>
          <w:i w:val="1"/>
          <w:iCs w:val="1"/>
        </w:rPr>
        <w:t>Lo que en realidad se ordena corresponde a que se precisen los elementos que delinearán dicho programa, aspectos que deben ser discutidos por los afectados desde la misma consagración de la prohibición de actividades.</w:t>
      </w:r>
      <w:r w:rsidRPr="3D8C40D4" w:rsidR="65FB2A5A">
        <w:rPr>
          <w:rFonts w:ascii="Verdana" w:hAnsi="Verdana" w:eastAsia="Verdana" w:cs="Verdana"/>
          <w:i w:val="1"/>
          <w:iCs w:val="1"/>
        </w:rPr>
        <w:t xml:space="preserve"> (…)”  </w:t>
      </w:r>
    </w:p>
    <w:p w:rsidR="3D8C40D4" w:rsidP="3D8C40D4" w:rsidRDefault="3D8C40D4" w14:paraId="488C5131" w14:textId="611D5BB0">
      <w:pPr>
        <w:spacing w:after="5" w:line="267" w:lineRule="auto"/>
        <w:jc w:val="both"/>
        <w:rPr>
          <w:rFonts w:ascii="Verdana" w:hAnsi="Verdana" w:eastAsia="Verdana" w:cs="Verdana"/>
          <w:i w:val="1"/>
          <w:iCs w:val="1"/>
        </w:rPr>
      </w:pPr>
    </w:p>
    <w:p w:rsidRPr="006C368C" w:rsidR="006C368C" w:rsidRDefault="006C368C" w14:paraId="652BD72A" w14:textId="2CAD5160">
      <w:pPr>
        <w:pStyle w:val="Ttulo2"/>
        <w:numPr>
          <w:ilvl w:val="1"/>
          <w:numId w:val="2"/>
        </w:numPr>
        <w:ind w:left="900"/>
        <w:rPr>
          <w:rFonts w:ascii="Verdana" w:hAnsi="Verdana"/>
          <w:color w:val="000000" w:themeColor="text1"/>
        </w:rPr>
      </w:pPr>
      <w:proofErr w:type="spellStart"/>
      <w:r w:rsidRPr="006C368C">
        <w:rPr>
          <w:rFonts w:ascii="Verdana" w:hAnsi="Verdana"/>
          <w:color w:val="000000" w:themeColor="text1"/>
        </w:rPr>
        <w:t>Objetivo</w:t>
      </w:r>
      <w:proofErr w:type="spellEnd"/>
      <w:r w:rsidRPr="006C368C">
        <w:rPr>
          <w:rFonts w:ascii="Verdana" w:hAnsi="Verdana"/>
          <w:color w:val="000000" w:themeColor="text1"/>
        </w:rPr>
        <w:t xml:space="preserve"> del </w:t>
      </w:r>
      <w:proofErr w:type="spellStart"/>
      <w:r w:rsidRPr="006C368C">
        <w:rPr>
          <w:rFonts w:ascii="Verdana" w:hAnsi="Verdana"/>
          <w:color w:val="000000" w:themeColor="text1"/>
        </w:rPr>
        <w:t>Componente</w:t>
      </w:r>
      <w:proofErr w:type="spellEnd"/>
      <w:r w:rsidRPr="006C368C">
        <w:rPr>
          <w:rFonts w:ascii="Verdana" w:hAnsi="Verdana"/>
          <w:color w:val="000000" w:themeColor="text1"/>
        </w:rPr>
        <w:t xml:space="preserve"> </w:t>
      </w:r>
      <w:proofErr w:type="spellStart"/>
      <w:r w:rsidRPr="006C368C">
        <w:rPr>
          <w:rFonts w:ascii="Verdana" w:hAnsi="Verdana"/>
          <w:color w:val="000000" w:themeColor="text1"/>
        </w:rPr>
        <w:t>Agropecuario</w:t>
      </w:r>
      <w:proofErr w:type="spellEnd"/>
      <w:r w:rsidRPr="006C368C">
        <w:rPr>
          <w:rFonts w:ascii="Verdana" w:hAnsi="Verdana"/>
          <w:color w:val="000000" w:themeColor="text1"/>
        </w:rPr>
        <w:t xml:space="preserve">  </w:t>
      </w:r>
    </w:p>
    <w:p w:rsidRPr="00D8323E" w:rsidR="006C368C" w:rsidP="006C368C" w:rsidRDefault="006C368C" w14:paraId="5DEA4903" w14:textId="77777777">
      <w:pPr>
        <w:spacing w:after="5" w:line="267" w:lineRule="auto"/>
        <w:rPr>
          <w:rFonts w:ascii="Verdana" w:hAnsi="Verdana" w:eastAsia="Verdana" w:cs="Verdana"/>
        </w:rPr>
      </w:pPr>
    </w:p>
    <w:p w:rsidR="006C368C" w:rsidP="006C368C" w:rsidRDefault="006C368C" w14:paraId="7FFFE15C" w14:textId="10179FD4">
      <w:pPr>
        <w:jc w:val="both"/>
        <w:rPr>
          <w:rFonts w:ascii="Verdana" w:hAnsi="Verdana" w:eastAsia="Verdana" w:cs="Verdana"/>
        </w:rPr>
      </w:pPr>
      <w:r w:rsidRPr="7291CF42">
        <w:rPr>
          <w:rFonts w:ascii="Verdana" w:hAnsi="Verdana" w:eastAsia="Verdana" w:cs="Verdana"/>
        </w:rPr>
        <w:t>El objetivo de este ineludible es poder precisar los lineamientos para el diseño de los programas de reconversión y sustitución de actividades agropecuarias en el Páramo Jurisdicciones - Santurbán – Berlín.</w:t>
      </w:r>
    </w:p>
    <w:p w:rsidR="006C368C" w:rsidP="006C368C" w:rsidRDefault="006C368C" w14:paraId="16758E7F" w14:textId="77777777">
      <w:pPr>
        <w:spacing w:after="5" w:line="249" w:lineRule="auto"/>
        <w:jc w:val="both"/>
        <w:rPr>
          <w:rFonts w:ascii="Verdana" w:hAnsi="Verdana" w:eastAsia="Verdana" w:cs="Verdana"/>
        </w:rPr>
      </w:pPr>
      <w:r w:rsidRPr="7291CF42">
        <w:rPr>
          <w:rFonts w:ascii="Verdana" w:hAnsi="Verdana" w:eastAsia="Verdana" w:cs="Verdana"/>
        </w:rPr>
        <w:t xml:space="preserve">Lo anterior, con el fin de conservar la funcionalidad del ecosistema y la prestación de los servicios ambientales del mismo. Así como también, que los habitantes del </w:t>
      </w:r>
      <w:proofErr w:type="gramStart"/>
      <w:r w:rsidRPr="7291CF42">
        <w:rPr>
          <w:rFonts w:ascii="Verdana" w:hAnsi="Verdana" w:eastAsia="Verdana" w:cs="Verdana"/>
        </w:rPr>
        <w:t>páramo,</w:t>
      </w:r>
      <w:proofErr w:type="gramEnd"/>
      <w:r w:rsidRPr="7291CF42">
        <w:rPr>
          <w:rFonts w:ascii="Verdana" w:hAnsi="Verdana" w:eastAsia="Verdana" w:cs="Verdana"/>
        </w:rPr>
        <w:t xml:space="preserve"> puedan continuar realizando sus actividades productivas agropecuarias; mediante una transición progresiva hacia actividades bajo impacto y ambientalmente sostenibles.  </w:t>
      </w:r>
    </w:p>
    <w:p w:rsidR="006C368C" w:rsidP="006C368C" w:rsidRDefault="006C368C" w14:paraId="36E84C38" w14:textId="77777777">
      <w:pPr>
        <w:spacing w:after="0"/>
        <w:ind w:left="170"/>
        <w:rPr>
          <w:rFonts w:ascii="Verdana" w:hAnsi="Verdana" w:eastAsia="Verdana" w:cs="Verdana"/>
        </w:rPr>
      </w:pPr>
      <w:r w:rsidRPr="7291CF42">
        <w:rPr>
          <w:rFonts w:ascii="Verdana" w:hAnsi="Verdana" w:eastAsia="Verdana" w:cs="Verdana"/>
        </w:rPr>
        <w:t xml:space="preserve"> </w:t>
      </w:r>
    </w:p>
    <w:p w:rsidR="006C368C" w:rsidP="006C368C" w:rsidRDefault="006C368C" w14:paraId="08C0CF06" w14:textId="77777777">
      <w:pPr>
        <w:spacing w:after="5" w:line="249" w:lineRule="auto"/>
        <w:jc w:val="both"/>
        <w:rPr>
          <w:rFonts w:ascii="Verdana" w:hAnsi="Verdana" w:eastAsia="Verdana" w:cs="Verdana"/>
        </w:rPr>
      </w:pPr>
      <w:r w:rsidRPr="7291CF42">
        <w:rPr>
          <w:rFonts w:ascii="Verdana" w:hAnsi="Verdana" w:eastAsia="Verdana" w:cs="Verdana"/>
        </w:rPr>
        <w:t xml:space="preserve">Dichos lineamientos, deben ser concertados con las comunidades, de acuerdo con lo establecido en la Sentencia T-361 de 2017. </w:t>
      </w:r>
    </w:p>
    <w:p w:rsidR="006C368C" w:rsidP="65B0432F" w:rsidRDefault="006C368C" w14:paraId="6514CD91" w14:textId="4B12D638">
      <w:pPr>
        <w:pStyle w:val="Normal"/>
        <w:spacing w:after="5" w:line="267" w:lineRule="auto"/>
        <w:ind w:left="-5" w:hanging="10"/>
        <w:rPr>
          <w:rFonts w:ascii="Verdana" w:hAnsi="Verdana" w:eastAsia="Verdana" w:cs="Verdana"/>
          <w:b w:val="1"/>
          <w:bCs w:val="1"/>
        </w:rPr>
      </w:pPr>
    </w:p>
    <w:p w:rsidRPr="00D15080" w:rsidR="006C368C" w:rsidRDefault="006C368C" w14:paraId="49B8884E" w14:textId="77777777">
      <w:pPr>
        <w:pStyle w:val="Ttulo2"/>
        <w:numPr>
          <w:ilvl w:val="1"/>
          <w:numId w:val="2"/>
        </w:numPr>
        <w:ind w:left="900"/>
        <w:rPr>
          <w:rFonts w:ascii="Verdana" w:hAnsi="Verdana" w:eastAsia="Verdana" w:cstheme="majorBidi"/>
          <w:b w:val="0"/>
          <w:bCs w:val="0"/>
          <w:color w:val="000000" w:themeColor="text1"/>
        </w:rPr>
      </w:pPr>
      <w:bookmarkStart w:name="_Toc234590973" w:id="4"/>
      <w:r w:rsidRPr="00D15080">
        <w:rPr>
          <w:rFonts w:ascii="Verdana" w:hAnsi="Verdana" w:eastAsia="Verdana" w:cstheme="majorBidi"/>
          <w:color w:val="000000" w:themeColor="text1"/>
        </w:rPr>
        <w:t xml:space="preserve">Marco </w:t>
      </w:r>
      <w:proofErr w:type="spellStart"/>
      <w:r w:rsidRPr="00D15080">
        <w:rPr>
          <w:rFonts w:ascii="Verdana" w:hAnsi="Verdana" w:eastAsia="Verdana" w:cstheme="majorBidi"/>
          <w:color w:val="000000" w:themeColor="text1"/>
        </w:rPr>
        <w:t>normativo</w:t>
      </w:r>
      <w:proofErr w:type="spellEnd"/>
      <w:r w:rsidRPr="00D15080">
        <w:rPr>
          <w:rFonts w:ascii="Verdana" w:hAnsi="Verdana" w:eastAsia="Verdana" w:cstheme="majorBidi"/>
          <w:color w:val="000000" w:themeColor="text1"/>
        </w:rPr>
        <w:t xml:space="preserve"> </w:t>
      </w:r>
      <w:proofErr w:type="spellStart"/>
      <w:r w:rsidRPr="00D15080">
        <w:rPr>
          <w:rFonts w:ascii="Verdana" w:hAnsi="Verdana" w:eastAsia="Verdana" w:cstheme="majorBidi"/>
          <w:color w:val="000000" w:themeColor="text1"/>
        </w:rPr>
        <w:t>aplicable</w:t>
      </w:r>
      <w:proofErr w:type="spellEnd"/>
      <w:r w:rsidRPr="00D15080">
        <w:rPr>
          <w:rFonts w:ascii="Verdana" w:hAnsi="Verdana" w:eastAsia="Verdana" w:cstheme="majorBidi"/>
          <w:color w:val="000000" w:themeColor="text1"/>
        </w:rPr>
        <w:t>.</w:t>
      </w:r>
      <w:bookmarkEnd w:id="4"/>
      <w:r w:rsidRPr="00D15080">
        <w:rPr>
          <w:rFonts w:ascii="Verdana" w:hAnsi="Verdana" w:eastAsia="Verdana" w:cstheme="majorBidi"/>
          <w:color w:val="000000" w:themeColor="text1"/>
        </w:rPr>
        <w:t xml:space="preserve"> </w:t>
      </w:r>
    </w:p>
    <w:p w:rsidR="006C368C" w:rsidP="006C368C" w:rsidRDefault="006C368C" w14:paraId="4751FE17" w14:textId="77777777">
      <w:pPr>
        <w:spacing w:after="16"/>
        <w:ind w:left="823"/>
        <w:rPr>
          <w:rFonts w:ascii="Verdana" w:hAnsi="Verdana" w:eastAsia="Verdana" w:cs="Verdana"/>
          <w:b/>
          <w:bCs/>
        </w:rPr>
      </w:pPr>
      <w:r w:rsidRPr="7291CF42">
        <w:rPr>
          <w:rFonts w:ascii="Verdana" w:hAnsi="Verdana" w:eastAsia="Verdana" w:cs="Verdana"/>
          <w:b/>
          <w:bCs/>
        </w:rPr>
        <w:t xml:space="preserve"> </w:t>
      </w:r>
    </w:p>
    <w:p w:rsidR="006C368C" w:rsidP="006C368C" w:rsidRDefault="006C368C" w14:paraId="2F8D8575" w14:textId="77777777">
      <w:pPr>
        <w:spacing w:after="5" w:line="249" w:lineRule="auto"/>
        <w:jc w:val="both"/>
        <w:rPr>
          <w:rFonts w:ascii="Verdana" w:hAnsi="Verdana" w:eastAsia="Verdana" w:cs="Verdana"/>
        </w:rPr>
      </w:pPr>
      <w:r w:rsidRPr="7291CF42">
        <w:rPr>
          <w:rFonts w:ascii="Verdana" w:hAnsi="Verdana" w:eastAsia="Verdana" w:cs="Verdana"/>
        </w:rPr>
        <w:t xml:space="preserve">Es necesario precisar que, la Ley 1930 de 2018, en relación con las actividades agropecuarias, señala que: </w:t>
      </w:r>
    </w:p>
    <w:p w:rsidR="006C368C" w:rsidP="006C368C" w:rsidRDefault="006C368C" w14:paraId="6345AFD2" w14:textId="77777777">
      <w:pPr>
        <w:spacing w:after="0"/>
        <w:ind w:left="170"/>
        <w:rPr>
          <w:rFonts w:ascii="Verdana" w:hAnsi="Verdana" w:eastAsia="Verdana" w:cs="Verdana"/>
        </w:rPr>
      </w:pPr>
      <w:r w:rsidRPr="7291CF42">
        <w:rPr>
          <w:rFonts w:ascii="Verdana" w:hAnsi="Verdana" w:eastAsia="Verdana" w:cs="Verdana"/>
        </w:rPr>
        <w:t xml:space="preserve"> </w:t>
      </w:r>
    </w:p>
    <w:p w:rsidR="006C368C" w:rsidP="006C368C" w:rsidRDefault="006C368C" w14:paraId="0376EEB9"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“ARTÍCULO 10. De las actividades agropecuarias. Los Ministerios de Agricultura y Desarrollo Rural, y sus entidades adscritas o vinculadas y las entidades territoriales, en coordinación con las Corporaciones Autónomas Regionales, y bajo las directrices del Ministerio de Ambiente y Desarrollo Sostenible, concurrirán para diseñar, capacitar y poner en marcha programas de sustitución y reconversión de las actividades agropecuarias de alto impacto y pequeños mineros tradicionales que se venían desarrollando con anterioridad al 16 de junio de 2011 previa definición y que se encuentren al interior del área de páramo delimitada, con el fin de garantizar la conservación de los páramos y el suministro de servicios ecosistémicos. </w:t>
      </w:r>
    </w:p>
    <w:p w:rsidR="006C368C" w:rsidP="006C368C" w:rsidRDefault="006C368C" w14:paraId="04B0E41C"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112BC2CB"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En el marco de estas acciones se deberá brindar a las comunidades el tiempo y los medios para que estas puedan adaptarse a la nueva situación, para lo cual se deberán tener en cuenta los resultados de la. caracterización de los habitantes del páramo para lograr una transición gradual y diferenciada por tipo de actor. </w:t>
      </w:r>
    </w:p>
    <w:p w:rsidR="006C368C" w:rsidP="006C368C" w:rsidRDefault="006C368C" w14:paraId="56DC9733"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67A154DE"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Podrá permitirse la continuación de las actividades agropecuarias de bajo impacto que se vienen desarrollando en las zonas de páramo delimitados, haciendo uso de las buenas prácticas que cumplen con los estándares ambientales y en defensa de los páramos. </w:t>
      </w:r>
    </w:p>
    <w:p w:rsidR="006C368C" w:rsidP="006C368C" w:rsidRDefault="006C368C" w14:paraId="3341C495"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7D1F4C3C"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Las actividades agrícolas de bajo impacto y ambientalmente sostenibles se deberán ceñir a los lineamientos que para el efecto establezca el Ministerio de Agricultura y el Ministerio de Ambiente y Desarrollo Sostenible.” </w:t>
      </w:r>
    </w:p>
    <w:p w:rsidR="006C368C" w:rsidP="006C368C" w:rsidRDefault="006C368C" w14:paraId="34BC9E45" w14:textId="77777777">
      <w:pPr>
        <w:spacing w:after="0"/>
        <w:ind w:left="170"/>
        <w:rPr>
          <w:rFonts w:ascii="Verdana" w:hAnsi="Verdana" w:eastAsia="Verdana" w:cs="Verdana"/>
        </w:rPr>
      </w:pPr>
      <w:r w:rsidRPr="7291CF42">
        <w:rPr>
          <w:rFonts w:ascii="Verdana" w:hAnsi="Verdana" w:eastAsia="Verdana" w:cs="Verdana"/>
        </w:rPr>
        <w:t xml:space="preserve"> </w:t>
      </w:r>
    </w:p>
    <w:p w:rsidR="006C368C" w:rsidP="006C368C" w:rsidRDefault="006C368C" w14:paraId="43109C4D" w14:textId="77777777">
      <w:pPr>
        <w:spacing w:after="5" w:line="249" w:lineRule="auto"/>
        <w:jc w:val="both"/>
        <w:rPr>
          <w:rFonts w:ascii="Verdana" w:hAnsi="Verdana" w:eastAsia="Verdana" w:cs="Verdana"/>
        </w:rPr>
      </w:pPr>
      <w:r w:rsidRPr="7291CF42">
        <w:rPr>
          <w:rFonts w:ascii="Verdana" w:hAnsi="Verdana" w:eastAsia="Verdana" w:cs="Verdana"/>
        </w:rPr>
        <w:t xml:space="preserve">Por lo tanto, se permite el desarrollo de actividades agropecuarias de bajo impacto y ambientalmente sostenibles en los páramos delimitados. Estas actividades fueron definidas en la Resolución 1294 de 2021, como:  </w:t>
      </w:r>
    </w:p>
    <w:p w:rsidR="006C368C" w:rsidP="006C368C" w:rsidRDefault="006C368C" w14:paraId="6F490AA4"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602A1928"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“aquellas actividades circunscritas a los ámbitos agrícola, pecuario, forestal, acuícola o pesquero, cuyos sistemas de producción, además de satisfacer las necesidades básicas de los habitantes tradicionales de páramo y generar ingresos económicos, no ponen en riesgo la funcionalidad del ecosistema de páramo, ni la prestación de los servicios ecosistémicos donde se desarrollan. </w:t>
      </w:r>
    </w:p>
    <w:p w:rsidR="006C368C" w:rsidP="006C368C" w:rsidRDefault="006C368C" w14:paraId="4A13FCCE"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7BD64C8A"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Las actividades agropecuarias consideradas como de bajo impacto deberán favorecer las relaciones de reciprocidad, cooperación y solidaridad de las comunidades rurales que las desarrollan, fundamentándose en el trabajo y mano de obra familiar y comunitaria y constituyéndose en los medios de vida ambiental, social y económicamente sostenibles de los habitantes tradicionales de páramo.”   </w:t>
      </w:r>
    </w:p>
    <w:p w:rsidR="006C368C" w:rsidP="006C368C" w:rsidRDefault="006C368C" w14:paraId="674344F0" w14:textId="77777777">
      <w:pPr>
        <w:spacing w:after="0"/>
        <w:ind w:left="170"/>
        <w:rPr>
          <w:rFonts w:ascii="Verdana" w:hAnsi="Verdana" w:eastAsia="Verdana" w:cs="Verdana"/>
        </w:rPr>
      </w:pPr>
      <w:r w:rsidRPr="7291CF42">
        <w:rPr>
          <w:rFonts w:ascii="Verdana" w:hAnsi="Verdana" w:eastAsia="Verdana" w:cs="Verdana"/>
        </w:rPr>
        <w:t xml:space="preserve"> </w:t>
      </w:r>
    </w:p>
    <w:p w:rsidR="006C368C" w:rsidP="006C368C" w:rsidRDefault="006C368C" w14:paraId="1AB8A04E" w14:textId="77777777">
      <w:pPr>
        <w:spacing w:after="5" w:line="249" w:lineRule="auto"/>
        <w:jc w:val="both"/>
        <w:rPr>
          <w:rFonts w:ascii="Verdana" w:hAnsi="Verdana" w:eastAsia="Verdana" w:cs="Verdana"/>
        </w:rPr>
      </w:pPr>
      <w:r w:rsidRPr="7291CF42">
        <w:rPr>
          <w:rFonts w:ascii="Verdana" w:hAnsi="Verdana" w:eastAsia="Verdana" w:cs="Verdana"/>
        </w:rPr>
        <w:t xml:space="preserve">Para ello, y de acuerdo con: </w:t>
      </w:r>
    </w:p>
    <w:p w:rsidR="006C368C" w:rsidP="006C368C" w:rsidRDefault="006C368C" w14:paraId="37EA8024" w14:textId="77777777">
      <w:pPr>
        <w:spacing w:after="0"/>
        <w:ind w:left="170"/>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3A42BA92" w14:textId="77777777">
      <w:pPr>
        <w:tabs>
          <w:tab w:val="center" w:pos="406"/>
          <w:tab w:val="center" w:pos="1854"/>
        </w:tabs>
        <w:spacing w:after="0"/>
        <w:rPr>
          <w:rFonts w:ascii="Verdana" w:hAnsi="Verdana" w:eastAsia="Verdana" w:cs="Verdana"/>
          <w:i/>
          <w:iCs/>
        </w:rPr>
      </w:pPr>
      <w:r>
        <w:tab/>
      </w:r>
      <w:r w:rsidRPr="7291CF42">
        <w:rPr>
          <w:rFonts w:ascii="Verdana" w:hAnsi="Verdana" w:eastAsia="Verdana" w:cs="Verdana"/>
          <w:sz w:val="20"/>
          <w:szCs w:val="20"/>
        </w:rPr>
        <w:t xml:space="preserve">• </w:t>
      </w:r>
      <w:r>
        <w:tab/>
      </w:r>
      <w:r w:rsidRPr="7291CF42">
        <w:rPr>
          <w:rFonts w:ascii="Verdana" w:hAnsi="Verdana" w:eastAsia="Verdana" w:cs="Verdana"/>
          <w:b/>
          <w:bCs/>
          <w:i/>
          <w:iCs/>
        </w:rPr>
        <w:t>Ley 1930 de 2018 (Art. 18):</w:t>
      </w:r>
      <w:r w:rsidRPr="7291CF42">
        <w:rPr>
          <w:rFonts w:ascii="Verdana" w:hAnsi="Verdana" w:eastAsia="Verdana" w:cs="Verdana"/>
          <w:i/>
          <w:iCs/>
        </w:rPr>
        <w:t xml:space="preserve"> </w:t>
      </w:r>
    </w:p>
    <w:p w:rsidR="006C368C" w:rsidP="006C368C" w:rsidRDefault="006C368C" w14:paraId="2CFC568C" w14:textId="77777777">
      <w:pPr>
        <w:spacing w:after="0"/>
        <w:ind w:left="170"/>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6790F4BA"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“Los procesos de sustitución o reconversión de actividades agropecuarias de alto impacto y los procesos de sustitución de las actividades mineras, deberán estar acompañados de planes, programas y proyectos orientados a la conservación y restauración de los páramos </w:t>
      </w:r>
    </w:p>
    <w:p w:rsidR="006C368C" w:rsidP="006C368C" w:rsidRDefault="006C368C" w14:paraId="3F09626E" w14:textId="77777777">
      <w:pPr>
        <w:spacing w:after="3" w:line="239" w:lineRule="auto"/>
        <w:ind w:left="561" w:right="611" w:hanging="10"/>
        <w:jc w:val="both"/>
        <w:rPr>
          <w:rFonts w:ascii="Verdana" w:hAnsi="Verdana" w:eastAsia="Verdana" w:cs="Verdana"/>
          <w:i/>
          <w:iCs/>
        </w:rPr>
      </w:pPr>
    </w:p>
    <w:p w:rsidR="006C368C" w:rsidP="006C368C" w:rsidRDefault="006C368C" w14:paraId="6611EE26"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Dichos planes, programas y proyectos propenderán por mejorar la calidad de vida de los habitantes tradicionales de estas zonas y deberán ser vinculados de manera prioritaria a título individual o través de las asociaciones existentes. </w:t>
      </w:r>
    </w:p>
    <w:p w:rsidR="006C368C" w:rsidP="006C368C" w:rsidRDefault="006C368C" w14:paraId="58EA1FFD"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28DA143D"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Las autoridades regionales y locales del Sistema Nacional Ambiental (SINA), así como el Ministerio de Agricultura y Desarrollo Rural y sus entidades adscritas y vinculadas, serán las encargadas del diseño, estructuración, y contratación de estos proyectos, bajo los lineamientos que establezca el plan de manejo del páramo. </w:t>
      </w:r>
    </w:p>
    <w:p w:rsidR="006C368C" w:rsidP="006C368C" w:rsidRDefault="006C368C" w14:paraId="51472E24"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006C368C" w:rsidRDefault="006C368C" w14:paraId="32C20DF2" w14:textId="77777777">
      <w:pPr>
        <w:spacing w:after="3" w:line="239" w:lineRule="auto"/>
        <w:ind w:left="561" w:right="611" w:hanging="10"/>
        <w:jc w:val="both"/>
        <w:rPr>
          <w:rFonts w:ascii="Verdana" w:hAnsi="Verdana" w:eastAsia="Verdana" w:cs="Verdana"/>
          <w:i/>
          <w:iCs/>
        </w:rPr>
      </w:pPr>
      <w:r w:rsidRPr="7291CF42">
        <w:rPr>
          <w:rFonts w:ascii="Verdana" w:hAnsi="Verdana" w:eastAsia="Verdana" w:cs="Verdana"/>
          <w:i/>
          <w:iCs/>
        </w:rPr>
        <w:t xml:space="preserve">El Ministerio de Minas y Energía y la Agencia Nacional de Minería deberán elaborar el programa de sustitución de las actividades mineras identificadas al interior del páramo delimitado en la que se deberá incorporar el cierre y desmantelamiento de las áreas afectadas y la reubicación o reconversión laboral de los pequeños mineros tradicionales. </w:t>
      </w:r>
    </w:p>
    <w:p w:rsidR="006C368C" w:rsidP="006C368C" w:rsidRDefault="006C368C" w14:paraId="599DC1D9" w14:textId="77777777">
      <w:pPr>
        <w:spacing w:after="0"/>
        <w:ind w:left="566"/>
        <w:rPr>
          <w:rFonts w:ascii="Verdana" w:hAnsi="Verdana" w:eastAsia="Verdana" w:cs="Verdana"/>
          <w:i/>
          <w:iCs/>
        </w:rPr>
      </w:pPr>
      <w:r w:rsidRPr="7291CF42">
        <w:rPr>
          <w:rFonts w:ascii="Verdana" w:hAnsi="Verdana" w:eastAsia="Verdana" w:cs="Verdana"/>
          <w:i/>
          <w:iCs/>
        </w:rPr>
        <w:t xml:space="preserve">  </w:t>
      </w:r>
    </w:p>
    <w:p w:rsidR="006C368C" w:rsidP="65B0432F" w:rsidRDefault="006C368C" w14:paraId="0A903FEB" w14:textId="603789D8">
      <w:pPr>
        <w:spacing w:after="3" w:line="239" w:lineRule="auto"/>
        <w:ind w:left="561" w:right="611" w:hanging="10"/>
        <w:jc w:val="both"/>
      </w:pPr>
      <w:r w:rsidRPr="3D8C40D4" w:rsidR="4F538B63">
        <w:rPr>
          <w:rFonts w:ascii="Verdana" w:hAnsi="Verdana" w:eastAsia="Verdana" w:cs="Verdana"/>
          <w:i w:val="1"/>
          <w:iCs w:val="1"/>
        </w:rPr>
        <w:t>Las actividades agrícolas de bajo impacto y ambientalmente sostenibles estarán sujetas a los lineamientos que se expidan para el efecto por parte de las autoridades competentes.”</w:t>
      </w:r>
    </w:p>
    <w:p w:rsidR="3D8C40D4" w:rsidP="3D8C40D4" w:rsidRDefault="3D8C40D4" w14:paraId="5DFEA89B" w14:textId="186FED5E">
      <w:pPr>
        <w:spacing w:after="3" w:line="239" w:lineRule="auto"/>
        <w:ind w:left="561" w:right="611" w:hanging="10"/>
        <w:jc w:val="both"/>
        <w:rPr>
          <w:rFonts w:ascii="Verdana" w:hAnsi="Verdana" w:eastAsia="Verdana" w:cs="Verdana"/>
          <w:i w:val="1"/>
          <w:iCs w:val="1"/>
        </w:rPr>
      </w:pPr>
    </w:p>
    <w:p w:rsidR="006C368C" w:rsidP="006C368C" w:rsidRDefault="006C368C" w14:paraId="5AF0CCCC" w14:textId="77777777">
      <w:pPr>
        <w:tabs>
          <w:tab w:val="center" w:pos="406"/>
          <w:tab w:val="center" w:pos="2085"/>
        </w:tabs>
        <w:spacing w:after="0"/>
        <w:rPr>
          <w:rFonts w:ascii="Verdana" w:hAnsi="Verdana" w:eastAsia="Verdana" w:cs="Verdana"/>
          <w:i/>
          <w:iCs/>
        </w:rPr>
      </w:pPr>
      <w:r>
        <w:tab/>
      </w:r>
      <w:r w:rsidRPr="7291CF42">
        <w:rPr>
          <w:rFonts w:ascii="Verdana" w:hAnsi="Verdana" w:eastAsia="Verdana" w:cs="Verdana"/>
          <w:sz w:val="20"/>
          <w:szCs w:val="20"/>
        </w:rPr>
        <w:t xml:space="preserve">• </w:t>
      </w:r>
      <w:r>
        <w:tab/>
      </w:r>
      <w:r w:rsidRPr="7291CF42">
        <w:rPr>
          <w:rFonts w:ascii="Verdana" w:hAnsi="Verdana" w:eastAsia="Verdana" w:cs="Verdana"/>
          <w:b/>
          <w:bCs/>
          <w:i/>
          <w:iCs/>
        </w:rPr>
        <w:t>Resolución 249 de 2022 (Art. 3):</w:t>
      </w:r>
      <w:r w:rsidRPr="7291CF42">
        <w:rPr>
          <w:rFonts w:ascii="Verdana" w:hAnsi="Verdana" w:eastAsia="Verdana" w:cs="Verdana"/>
          <w:i/>
          <w:iCs/>
        </w:rPr>
        <w:t xml:space="preserve"> </w:t>
      </w:r>
    </w:p>
    <w:p w:rsidR="006C368C" w:rsidP="006C368C" w:rsidRDefault="006C368C" w14:paraId="62ED9150" w14:textId="77777777">
      <w:pPr>
        <w:spacing w:after="0"/>
        <w:ind w:left="170"/>
        <w:rPr>
          <w:rFonts w:ascii="Verdana" w:hAnsi="Verdana" w:eastAsia="Verdana" w:cs="Verdana"/>
          <w:i/>
          <w:iCs/>
        </w:rPr>
      </w:pPr>
      <w:r w:rsidRPr="7291CF42">
        <w:rPr>
          <w:rFonts w:ascii="Verdana" w:hAnsi="Verdana" w:eastAsia="Verdana" w:cs="Verdana"/>
          <w:i/>
          <w:iCs/>
        </w:rPr>
        <w:t xml:space="preserve"> </w:t>
      </w:r>
    </w:p>
    <w:p w:rsidRPr="006C368C" w:rsidR="006C368C" w:rsidP="006C368C" w:rsidRDefault="006C368C" w14:paraId="4EEC96C8" w14:textId="77777777">
      <w:pPr>
        <w:spacing w:after="0" w:line="239" w:lineRule="auto"/>
        <w:ind w:left="566" w:right="619"/>
        <w:jc w:val="both"/>
        <w:rPr>
          <w:rFonts w:ascii="Verdana" w:hAnsi="Verdana" w:eastAsia="Verdana" w:cs="Verdana"/>
          <w:i/>
          <w:iCs/>
        </w:rPr>
      </w:pPr>
      <w:r w:rsidRPr="006C368C">
        <w:rPr>
          <w:rFonts w:ascii="Verdana" w:hAnsi="Verdana" w:eastAsia="Verdana" w:cs="Verdana"/>
          <w:i/>
          <w:iCs/>
        </w:rPr>
        <w:t xml:space="preserve">“En materia de reconversión de las actividades agropecuarias, el Ministerio de Agricultura y Desarrollo Rural (MADR) y sus entidades adscritas o vinculadas, y las entidades territoriales, en coordinación con las Corporaciones Autónomas Regionales, concurrirán en el ámbito de sus competencias para diseñar, capacitar y poner en marcha programas de reconversión de las actividades agropecuarias de alto impacto en páramos delimitados con el fin de garantizar su conservación y el suministro de servicios ecosistémicos. </w:t>
      </w:r>
    </w:p>
    <w:p w:rsidRPr="006C368C" w:rsidR="006C368C" w:rsidP="006C368C" w:rsidRDefault="006C368C" w14:paraId="656165FF" w14:textId="77777777">
      <w:pPr>
        <w:spacing w:after="0"/>
        <w:ind w:left="566"/>
        <w:rPr>
          <w:rFonts w:ascii="Verdana" w:hAnsi="Verdana" w:eastAsia="Verdana" w:cs="Verdana"/>
          <w:i/>
          <w:iCs/>
        </w:rPr>
      </w:pPr>
      <w:r w:rsidRPr="006C368C">
        <w:rPr>
          <w:rFonts w:ascii="Verdana" w:hAnsi="Verdana" w:eastAsia="Verdana" w:cs="Verdana"/>
          <w:i/>
          <w:iCs/>
        </w:rPr>
        <w:t xml:space="preserve">  </w:t>
      </w:r>
    </w:p>
    <w:p w:rsidRPr="006C368C" w:rsidR="006C368C" w:rsidP="006C368C" w:rsidRDefault="006C368C" w14:paraId="6492E4B1" w14:textId="77777777">
      <w:pPr>
        <w:spacing w:after="3" w:line="239" w:lineRule="auto"/>
        <w:ind w:left="561" w:right="611" w:hanging="10"/>
        <w:jc w:val="both"/>
      </w:pPr>
      <w:r w:rsidRPr="006C368C">
        <w:rPr>
          <w:rFonts w:ascii="Verdana" w:hAnsi="Verdana" w:eastAsia="Verdana" w:cs="Verdana"/>
          <w:i/>
          <w:iCs/>
        </w:rPr>
        <w:t xml:space="preserve">En materia de sustitución, las autoridades ambientales y entidades territoriales coordinarán con las demás entidades involucradas, las acciones necesarias para diseñar, capacitar y poner en marcha los programas de sustitución de las actividades agropecuarias en áreas de páramo delimitados.” </w:t>
      </w:r>
    </w:p>
    <w:p w:rsidR="006C368C" w:rsidP="006C368C" w:rsidRDefault="006C368C" w14:paraId="725C3A35" w14:textId="77777777">
      <w:pPr>
        <w:spacing w:after="3" w:line="239" w:lineRule="auto"/>
        <w:ind w:left="561" w:right="611" w:hanging="10"/>
        <w:jc w:val="both"/>
        <w:rPr>
          <w:rFonts w:ascii="Verdana" w:hAnsi="Verdana" w:eastAsia="Verdana" w:cs="Verdana"/>
          <w:i/>
          <w:iCs/>
        </w:rPr>
      </w:pPr>
    </w:p>
    <w:p w:rsidR="006C368C" w:rsidRDefault="006C368C" w14:paraId="5731F046" w14:textId="77777777">
      <w:pPr>
        <w:pStyle w:val="Prrafodelista"/>
        <w:widowControl/>
        <w:numPr>
          <w:ilvl w:val="0"/>
          <w:numId w:val="1"/>
        </w:numPr>
        <w:autoSpaceDE/>
        <w:autoSpaceDN/>
        <w:spacing w:line="259" w:lineRule="auto"/>
        <w:contextualSpacing/>
        <w:rPr>
          <w:rFonts w:ascii="Verdana" w:hAnsi="Verdana" w:eastAsia="Verdana" w:cs="Verdana"/>
          <w:sz w:val="20"/>
          <w:szCs w:val="20"/>
        </w:rPr>
      </w:pPr>
      <w:proofErr w:type="spellStart"/>
      <w:r w:rsidRPr="7291CF42">
        <w:rPr>
          <w:rFonts w:ascii="Verdana" w:hAnsi="Verdana" w:eastAsia="Verdana" w:cs="Verdana"/>
          <w:b/>
          <w:bCs/>
          <w:i/>
          <w:iCs/>
        </w:rPr>
        <w:t>Resolución</w:t>
      </w:r>
      <w:proofErr w:type="spellEnd"/>
      <w:r w:rsidRPr="7291CF42">
        <w:rPr>
          <w:rFonts w:ascii="Verdana" w:hAnsi="Verdana" w:eastAsia="Verdana" w:cs="Verdana"/>
          <w:b/>
          <w:bCs/>
          <w:i/>
          <w:iCs/>
        </w:rPr>
        <w:t xml:space="preserve"> 160 de 2025</w:t>
      </w:r>
    </w:p>
    <w:p w:rsidR="006C368C" w:rsidP="006C368C" w:rsidRDefault="006C368C" w14:paraId="31DB925C" w14:textId="77777777">
      <w:pPr>
        <w:spacing w:after="0"/>
      </w:pPr>
      <w:r w:rsidRPr="7291CF42">
        <w:rPr>
          <w:rFonts w:ascii="Verdana" w:hAnsi="Verdana" w:eastAsia="Verdana" w:cs="Verdana"/>
          <w:b/>
          <w:bCs/>
          <w:i/>
          <w:iCs/>
        </w:rPr>
        <w:t xml:space="preserve"> </w:t>
      </w:r>
    </w:p>
    <w:p w:rsidR="006C368C" w:rsidP="006C368C" w:rsidRDefault="006C368C" w14:paraId="4F8AA099" w14:textId="77777777">
      <w:pPr>
        <w:jc w:val="both"/>
        <w:rPr>
          <w:rFonts w:ascii="Verdana" w:hAnsi="Verdana" w:eastAsia="Verdana" w:cs="Verdana"/>
        </w:rPr>
      </w:pPr>
      <w:r w:rsidRPr="7291CF42">
        <w:rPr>
          <w:rFonts w:ascii="Verdana" w:hAnsi="Verdana" w:eastAsia="Verdana" w:cs="Verdana"/>
        </w:rPr>
        <w:t xml:space="preserve">La Resolución 160 del 19 de junio de 2026, expedida por el Ministerio de Ambiente y Desarrollo Sostenible, adoptó la metodología para la determinación de actividades agropecuarias de bajo impacto en páramos, en cumplimiento de lo previsto en la Ley 1930 de 2018. </w:t>
      </w:r>
    </w:p>
    <w:p w:rsidRPr="00D17C7C" w:rsidR="006C368C" w:rsidP="006C368C" w:rsidRDefault="006C368C" w14:paraId="143FEADF" w14:textId="77777777">
      <w:pPr>
        <w:ind w:left="708"/>
        <w:jc w:val="both"/>
        <w:rPr>
          <w:rFonts w:ascii="Verdana" w:hAnsi="Verdana" w:eastAsia="Verdana" w:cs="Verdana"/>
          <w:i/>
          <w:iCs/>
        </w:rPr>
      </w:pPr>
      <w:r w:rsidRPr="00D17C7C">
        <w:rPr>
          <w:rFonts w:ascii="Verdana" w:hAnsi="Verdana" w:eastAsia="Verdana" w:cs="Verdana"/>
          <w:i/>
          <w:iCs/>
        </w:rPr>
        <w:t>«Por la cual se define y adopta la metodología para la determinación de actividades agropecuarias de bajo impacto en páramos y se toman otras determinaciones»</w:t>
      </w:r>
    </w:p>
    <w:p w:rsidR="661DBFE7" w:rsidP="65B0432F" w:rsidRDefault="661DBFE7" w14:paraId="5DB9957A" w14:textId="66AAD026">
      <w:pPr>
        <w:jc w:val="both"/>
      </w:pPr>
      <w:r w:rsidRPr="65B0432F" w:rsidR="661DBFE7">
        <w:rPr>
          <w:rFonts w:ascii="Verdana" w:hAnsi="Verdana" w:eastAsia="Verdana" w:cs="Verdana"/>
        </w:rPr>
        <w:t>Este acto administrativo constituye el principal instrumento técnico de referencia para orientar la identificación y valoración del impacto que generan las actividades agropecuarias en estos ecosistemas estratégicos, mediante la aplicación de criterios objetivos que permiten establecer si una actividad puede catalogarse como de bajo impacto y, por tanto, resulta un insumo de gran valor para orientar los planes programas y proyectos de reconversión productiva que se deben implementar para promover el bajo impacto de las actividades agropecuarias en los páramos.</w:t>
      </w:r>
    </w:p>
    <w:p w:rsidRPr="003F7551" w:rsidR="006C368C" w:rsidRDefault="006C368C" w14:paraId="24A47B70" w14:textId="77777777">
      <w:pPr>
        <w:pStyle w:val="Ttulo1"/>
        <w:numPr>
          <w:ilvl w:val="0"/>
          <w:numId w:val="2"/>
        </w:numPr>
        <w:ind w:left="900" w:hanging="720"/>
        <w:rPr>
          <w:rFonts w:ascii="Verdana" w:hAnsi="Verdana" w:eastAsia="Verdana" w:cstheme="majorBidi"/>
          <w:b w:val="0"/>
          <w:bCs w:val="0"/>
          <w:color w:val="000000" w:themeColor="text1"/>
          <w:sz w:val="22"/>
          <w:szCs w:val="22"/>
        </w:rPr>
      </w:pPr>
      <w:bookmarkStart w:name="_Toc234590975" w:id="5"/>
      <w:proofErr w:type="spellStart"/>
      <w:r w:rsidRPr="003F7551">
        <w:rPr>
          <w:rFonts w:ascii="Verdana" w:hAnsi="Verdana" w:eastAsia="Verdana" w:cstheme="majorBidi"/>
          <w:color w:val="000000" w:themeColor="text1"/>
          <w:sz w:val="22"/>
          <w:szCs w:val="22"/>
        </w:rPr>
        <w:t>Propuesta</w:t>
      </w:r>
      <w:proofErr w:type="spellEnd"/>
      <w:r w:rsidRPr="003F7551">
        <w:rPr>
          <w:rFonts w:ascii="Verdana" w:hAnsi="Verdana" w:eastAsia="Verdana" w:cstheme="majorBidi"/>
          <w:color w:val="000000" w:themeColor="text1"/>
          <w:sz w:val="22"/>
          <w:szCs w:val="22"/>
        </w:rPr>
        <w:t xml:space="preserve"> </w:t>
      </w:r>
      <w:proofErr w:type="spellStart"/>
      <w:r w:rsidRPr="003F7551">
        <w:rPr>
          <w:rFonts w:ascii="Verdana" w:hAnsi="Verdana" w:eastAsia="Verdana" w:cstheme="majorBidi"/>
          <w:color w:val="000000" w:themeColor="text1"/>
          <w:sz w:val="22"/>
          <w:szCs w:val="22"/>
        </w:rPr>
        <w:t>integrada</w:t>
      </w:r>
      <w:proofErr w:type="spellEnd"/>
      <w:r w:rsidRPr="003F7551">
        <w:rPr>
          <w:rFonts w:ascii="Verdana" w:hAnsi="Verdana" w:eastAsia="Verdana" w:cstheme="majorBidi"/>
          <w:color w:val="000000" w:themeColor="text1"/>
          <w:sz w:val="22"/>
          <w:szCs w:val="22"/>
        </w:rPr>
        <w:t xml:space="preserve"> </w:t>
      </w:r>
      <w:proofErr w:type="spellStart"/>
      <w:r w:rsidRPr="003F7551">
        <w:rPr>
          <w:rFonts w:ascii="Verdana" w:hAnsi="Verdana" w:eastAsia="Verdana" w:cstheme="majorBidi"/>
          <w:color w:val="000000" w:themeColor="text1"/>
          <w:sz w:val="22"/>
          <w:szCs w:val="22"/>
        </w:rPr>
        <w:t>producto</w:t>
      </w:r>
      <w:proofErr w:type="spellEnd"/>
      <w:r w:rsidRPr="003F7551">
        <w:rPr>
          <w:rFonts w:ascii="Verdana" w:hAnsi="Verdana" w:eastAsia="Verdana" w:cstheme="majorBidi"/>
          <w:color w:val="000000" w:themeColor="text1"/>
          <w:sz w:val="22"/>
          <w:szCs w:val="22"/>
        </w:rPr>
        <w:t xml:space="preserve"> de la </w:t>
      </w:r>
      <w:proofErr w:type="spellStart"/>
      <w:r w:rsidRPr="003F7551">
        <w:rPr>
          <w:rFonts w:ascii="Verdana" w:hAnsi="Verdana" w:eastAsia="Verdana" w:cstheme="majorBidi"/>
          <w:color w:val="000000" w:themeColor="text1"/>
          <w:sz w:val="22"/>
          <w:szCs w:val="22"/>
        </w:rPr>
        <w:t>fase</w:t>
      </w:r>
      <w:proofErr w:type="spellEnd"/>
      <w:r w:rsidRPr="003F7551">
        <w:rPr>
          <w:rFonts w:ascii="Verdana" w:hAnsi="Verdana" w:eastAsia="Verdana" w:cstheme="majorBidi"/>
          <w:color w:val="000000" w:themeColor="text1"/>
          <w:sz w:val="22"/>
          <w:szCs w:val="22"/>
        </w:rPr>
        <w:t xml:space="preserve"> de consulta e </w:t>
      </w:r>
      <w:proofErr w:type="spellStart"/>
      <w:r w:rsidRPr="003F7551">
        <w:rPr>
          <w:rFonts w:ascii="Verdana" w:hAnsi="Verdana" w:eastAsia="Verdana" w:cstheme="majorBidi"/>
          <w:color w:val="000000" w:themeColor="text1"/>
          <w:sz w:val="22"/>
          <w:szCs w:val="22"/>
        </w:rPr>
        <w:t>iniciativa</w:t>
      </w:r>
      <w:proofErr w:type="spellEnd"/>
      <w:r w:rsidRPr="003F7551">
        <w:rPr>
          <w:rFonts w:ascii="Verdana" w:hAnsi="Verdana" w:eastAsia="Verdana" w:cstheme="majorBidi"/>
          <w:color w:val="000000" w:themeColor="text1"/>
          <w:sz w:val="22"/>
          <w:szCs w:val="22"/>
        </w:rPr>
        <w:t>.</w:t>
      </w:r>
      <w:bookmarkEnd w:id="5"/>
    </w:p>
    <w:p w:rsidR="006C368C" w:rsidP="006C368C" w:rsidRDefault="006C368C" w14:paraId="55203FC4" w14:textId="77777777">
      <w:pPr>
        <w:pStyle w:val="Prrafodelista"/>
        <w:spacing w:after="5" w:line="267" w:lineRule="auto"/>
        <w:rPr>
          <w:rFonts w:ascii="Verdana" w:hAnsi="Verdana" w:eastAsia="Verdana" w:cs="Verdana"/>
          <w:b/>
          <w:bCs/>
        </w:rPr>
      </w:pPr>
    </w:p>
    <w:p w:rsidRPr="00117695" w:rsidR="000C3A05" w:rsidP="006C368C" w:rsidRDefault="000C3A05" w14:paraId="30EED622" w14:textId="44931F70">
      <w:pPr>
        <w:jc w:val="both"/>
        <w:rPr>
          <w:rFonts w:ascii="Verdana" w:hAnsi="Verdana" w:eastAsia="Verdana" w:cs="Verdana"/>
        </w:rPr>
      </w:pPr>
      <w:r w:rsidRPr="125D6369" w:rsidR="006C368C">
        <w:rPr>
          <w:rFonts w:ascii="Verdana" w:hAnsi="Verdana" w:eastAsia="Verdana" w:cs="Verdana"/>
        </w:rPr>
        <w:t xml:space="preserve">Es importante destacar que el resultado de la propuesta integrada para los lineamientos de los programas de reconversión y sustitución de las actividades </w:t>
      </w:r>
      <w:r w:rsidRPr="125D6369" w:rsidR="006C368C">
        <w:rPr>
          <w:rFonts w:ascii="Verdana" w:hAnsi="Verdana" w:eastAsia="Verdana" w:cs="Verdana"/>
        </w:rPr>
        <w:t>prohibidas responden al análisis técnico y normativo realizado en la época conforme a lo establecido en la Ley 1930 de 2018, dado que estos fueron construidos en el 2019.</w:t>
      </w:r>
      <w:r w:rsidRPr="125D6369" w:rsidR="006C368C">
        <w:rPr>
          <w:rFonts w:ascii="Verdana" w:hAnsi="Verdana" w:eastAsia="Verdana" w:cs="Verdana"/>
        </w:rPr>
        <w:t xml:space="preserve"> Ahora bien, es importante mencionar que las diferentes carteras ministeriales han avanzado en la reglamentación de dichos lineamientos con normatividad tal como Resolución 1294 de 2021, los lineamientos adoptados mediante la Resolución 249 de 2022 y demás disposiciones normativas aplicables a los sectores agropecuario y ambiental</w:t>
      </w:r>
      <w:r w:rsidRPr="125D6369" w:rsidR="000C3A05">
        <w:rPr>
          <w:rFonts w:ascii="Verdana" w:hAnsi="Verdana" w:eastAsia="Verdana" w:cs="Verdana"/>
        </w:rPr>
        <w:t>.</w:t>
      </w:r>
    </w:p>
    <w:p w:rsidRPr="00D15080" w:rsidR="006C368C" w:rsidRDefault="006C368C" w14:paraId="67EE32C8" w14:textId="77777777">
      <w:pPr>
        <w:pStyle w:val="Ttulo2"/>
        <w:numPr>
          <w:ilvl w:val="1"/>
          <w:numId w:val="2"/>
        </w:numPr>
        <w:ind w:left="900"/>
        <w:rPr>
          <w:rFonts w:ascii="Verdana" w:hAnsi="Verdana" w:eastAsia="Verdana" w:cstheme="majorBidi"/>
          <w:b w:val="0"/>
          <w:bCs w:val="0"/>
          <w:color w:val="000000" w:themeColor="text1"/>
        </w:rPr>
      </w:pPr>
      <w:bookmarkStart w:name="_Toc234590976" w:id="6"/>
      <w:proofErr w:type="spellStart"/>
      <w:r w:rsidRPr="00D15080">
        <w:rPr>
          <w:rFonts w:ascii="Verdana" w:hAnsi="Verdana" w:eastAsia="Verdana" w:cstheme="majorBidi"/>
          <w:color w:val="000000" w:themeColor="text1"/>
        </w:rPr>
        <w:t>Propuesta</w:t>
      </w:r>
      <w:proofErr w:type="spellEnd"/>
      <w:r w:rsidRPr="00D15080">
        <w:rPr>
          <w:rFonts w:ascii="Verdana" w:hAnsi="Verdana" w:eastAsia="Verdana" w:cstheme="majorBidi"/>
          <w:color w:val="000000" w:themeColor="text1"/>
        </w:rPr>
        <w:t xml:space="preserve"> de </w:t>
      </w:r>
      <w:proofErr w:type="spellStart"/>
      <w:r w:rsidRPr="00D15080">
        <w:rPr>
          <w:rFonts w:ascii="Verdana" w:hAnsi="Verdana" w:eastAsia="Verdana" w:cstheme="majorBidi"/>
          <w:color w:val="000000" w:themeColor="text1"/>
        </w:rPr>
        <w:t>lineamientos</w:t>
      </w:r>
      <w:proofErr w:type="spellEnd"/>
      <w:r w:rsidRPr="00D15080">
        <w:rPr>
          <w:rFonts w:ascii="Verdana" w:hAnsi="Verdana" w:eastAsia="Verdana" w:cstheme="majorBidi"/>
          <w:color w:val="000000" w:themeColor="text1"/>
        </w:rPr>
        <w:t xml:space="preserve"> para </w:t>
      </w:r>
      <w:proofErr w:type="spellStart"/>
      <w:r w:rsidRPr="00D15080">
        <w:rPr>
          <w:rFonts w:ascii="Verdana" w:hAnsi="Verdana" w:eastAsia="Verdana" w:cstheme="majorBidi"/>
          <w:color w:val="000000" w:themeColor="text1"/>
        </w:rPr>
        <w:t>los</w:t>
      </w:r>
      <w:proofErr w:type="spellEnd"/>
      <w:r w:rsidRPr="00D15080">
        <w:rPr>
          <w:rFonts w:ascii="Verdana" w:hAnsi="Verdana" w:eastAsia="Verdana" w:cstheme="majorBidi"/>
          <w:color w:val="000000" w:themeColor="text1"/>
        </w:rPr>
        <w:t xml:space="preserve"> </w:t>
      </w:r>
      <w:proofErr w:type="spellStart"/>
      <w:r w:rsidRPr="00D15080">
        <w:rPr>
          <w:rFonts w:ascii="Verdana" w:hAnsi="Verdana" w:eastAsia="Verdana" w:cstheme="majorBidi"/>
          <w:color w:val="000000" w:themeColor="text1"/>
        </w:rPr>
        <w:t>programas</w:t>
      </w:r>
      <w:proofErr w:type="spellEnd"/>
      <w:r w:rsidRPr="00D15080">
        <w:rPr>
          <w:rFonts w:ascii="Verdana" w:hAnsi="Verdana" w:eastAsia="Verdana" w:cstheme="majorBidi"/>
          <w:color w:val="000000" w:themeColor="text1"/>
        </w:rPr>
        <w:t xml:space="preserve"> de </w:t>
      </w:r>
      <w:proofErr w:type="spellStart"/>
      <w:r w:rsidRPr="00D15080">
        <w:rPr>
          <w:rFonts w:ascii="Verdana" w:hAnsi="Verdana" w:eastAsia="Verdana" w:cstheme="majorBidi"/>
          <w:color w:val="000000" w:themeColor="text1"/>
        </w:rPr>
        <w:t>reconversión</w:t>
      </w:r>
      <w:proofErr w:type="spellEnd"/>
      <w:r w:rsidRPr="00D15080">
        <w:rPr>
          <w:rFonts w:ascii="Verdana" w:hAnsi="Verdana" w:eastAsia="Verdana" w:cstheme="majorBidi"/>
          <w:color w:val="000000" w:themeColor="text1"/>
        </w:rPr>
        <w:t xml:space="preserve"> y </w:t>
      </w:r>
      <w:proofErr w:type="spellStart"/>
      <w:r w:rsidRPr="00D15080">
        <w:rPr>
          <w:rFonts w:ascii="Verdana" w:hAnsi="Verdana" w:eastAsia="Verdana" w:cstheme="majorBidi"/>
          <w:color w:val="000000" w:themeColor="text1"/>
        </w:rPr>
        <w:t>sustitución</w:t>
      </w:r>
      <w:proofErr w:type="spellEnd"/>
      <w:r w:rsidRPr="00D15080">
        <w:rPr>
          <w:rFonts w:ascii="Verdana" w:hAnsi="Verdana" w:eastAsia="Verdana" w:cstheme="majorBidi"/>
          <w:color w:val="000000" w:themeColor="text1"/>
        </w:rPr>
        <w:t xml:space="preserve"> de </w:t>
      </w:r>
      <w:proofErr w:type="spellStart"/>
      <w:r w:rsidRPr="00D15080">
        <w:rPr>
          <w:rFonts w:ascii="Verdana" w:hAnsi="Verdana" w:eastAsia="Verdana" w:cstheme="majorBidi"/>
          <w:color w:val="000000" w:themeColor="text1"/>
        </w:rPr>
        <w:t>actividades</w:t>
      </w:r>
      <w:proofErr w:type="spellEnd"/>
      <w:r w:rsidRPr="00D15080">
        <w:rPr>
          <w:rFonts w:ascii="Verdana" w:hAnsi="Verdana" w:eastAsia="Verdana" w:cstheme="majorBidi"/>
          <w:color w:val="000000" w:themeColor="text1"/>
        </w:rPr>
        <w:t xml:space="preserve"> </w:t>
      </w:r>
      <w:proofErr w:type="spellStart"/>
      <w:r w:rsidRPr="00D15080">
        <w:rPr>
          <w:rFonts w:ascii="Verdana" w:hAnsi="Verdana" w:eastAsia="Verdana" w:cstheme="majorBidi"/>
          <w:color w:val="000000" w:themeColor="text1"/>
        </w:rPr>
        <w:t>agropecuarias</w:t>
      </w:r>
      <w:proofErr w:type="spellEnd"/>
      <w:r w:rsidRPr="00D15080">
        <w:rPr>
          <w:rFonts w:ascii="Verdana" w:hAnsi="Verdana" w:eastAsia="Verdana" w:cstheme="majorBidi"/>
          <w:color w:val="000000" w:themeColor="text1"/>
        </w:rPr>
        <w:t>.</w:t>
      </w:r>
      <w:bookmarkEnd w:id="6"/>
    </w:p>
    <w:p w:rsidRPr="00AE5053" w:rsidR="006C368C" w:rsidP="006C368C" w:rsidRDefault="006C368C" w14:paraId="381F0B2F" w14:textId="77777777">
      <w:pPr>
        <w:pStyle w:val="Prrafodelista"/>
        <w:spacing w:after="5" w:line="267" w:lineRule="auto"/>
        <w:rPr>
          <w:rFonts w:ascii="Verdana" w:hAnsi="Verdana" w:eastAsia="Verdana" w:cs="Verdana"/>
          <w:b/>
          <w:bCs/>
        </w:rPr>
      </w:pPr>
    </w:p>
    <w:p w:rsidR="006C368C" w:rsidP="006C368C" w:rsidRDefault="006C368C" w14:paraId="19FCCC77" w14:textId="1A431F1F">
      <w:pPr>
        <w:jc w:val="both"/>
        <w:rPr>
          <w:rFonts w:ascii="Verdana" w:hAnsi="Verdana" w:eastAsia="Verdana" w:cs="Verdana"/>
        </w:rPr>
      </w:pPr>
      <w:r w:rsidRPr="7291CF42">
        <w:rPr>
          <w:rFonts w:ascii="Verdana" w:hAnsi="Verdana" w:eastAsia="Verdana" w:cs="Verdana"/>
        </w:rPr>
        <w:t>La Corte Constitucional ordenó que la nueva delimitación del páramo incluya un programa para atender los impactos derivados de las restricciones a las actividades agropecuarias. Este programa debe ser formulado e implementado con participación del Ministerio de Ambiente, el Ministerio de Minas y Energía y el Ministerio de Agricultura, garantizando la protección de los derechos y medios de vida de las comunidades afectadas</w:t>
      </w:r>
      <w:r w:rsidR="000C3A05">
        <w:rPr>
          <w:rFonts w:ascii="Verdana" w:hAnsi="Verdana" w:eastAsia="Verdana" w:cs="Verdana"/>
        </w:rPr>
        <w:t>.</w:t>
      </w:r>
    </w:p>
    <w:p w:rsidRPr="00CA60BC" w:rsidR="006C368C" w:rsidRDefault="006C368C" w14:paraId="123CA229" w14:textId="77777777">
      <w:pPr>
        <w:pStyle w:val="Ttulo2"/>
        <w:numPr>
          <w:ilvl w:val="1"/>
          <w:numId w:val="2"/>
        </w:numPr>
        <w:ind w:left="900"/>
        <w:rPr>
          <w:rFonts w:ascii="Verdana" w:hAnsi="Verdana" w:eastAsia="Verdana" w:cs="Verdana"/>
          <w:b w:val="0"/>
          <w:bCs w:val="0"/>
        </w:rPr>
      </w:pPr>
      <w:bookmarkStart w:name="_Toc234590977" w:id="7"/>
      <w:r w:rsidRPr="00D15080">
        <w:rPr>
          <w:rFonts w:ascii="Verdana" w:hAnsi="Verdana" w:eastAsia="Verdana" w:cstheme="majorBidi"/>
          <w:color w:val="000000" w:themeColor="text1"/>
        </w:rPr>
        <w:t xml:space="preserve">Lineamientos para </w:t>
      </w:r>
      <w:proofErr w:type="spellStart"/>
      <w:r w:rsidRPr="00D15080">
        <w:rPr>
          <w:rFonts w:ascii="Verdana" w:hAnsi="Verdana" w:eastAsia="Verdana" w:cstheme="majorBidi"/>
          <w:color w:val="000000" w:themeColor="text1"/>
        </w:rPr>
        <w:t>el</w:t>
      </w:r>
      <w:proofErr w:type="spellEnd"/>
      <w:r w:rsidRPr="00D15080">
        <w:rPr>
          <w:rFonts w:ascii="Verdana" w:hAnsi="Verdana" w:eastAsia="Verdana" w:cstheme="majorBidi"/>
          <w:color w:val="000000" w:themeColor="text1"/>
        </w:rPr>
        <w:t xml:space="preserve"> sector </w:t>
      </w:r>
      <w:proofErr w:type="spellStart"/>
      <w:r w:rsidRPr="00D15080">
        <w:rPr>
          <w:rFonts w:ascii="Verdana" w:hAnsi="Verdana" w:eastAsia="Verdana" w:cstheme="majorBidi"/>
          <w:color w:val="000000" w:themeColor="text1"/>
        </w:rPr>
        <w:t>agropecuario</w:t>
      </w:r>
      <w:bookmarkEnd w:id="7"/>
      <w:proofErr w:type="spellEnd"/>
    </w:p>
    <w:p w:rsidR="006D1474" w:rsidP="006D1474" w:rsidRDefault="006D1474" w14:paraId="3E528F28" w14:textId="77777777">
      <w:pPr>
        <w:pStyle w:val="Ttulo1"/>
        <w:ind w:left="900"/>
        <w:rPr>
          <w:rFonts w:ascii="Verdana" w:hAnsi="Verdana" w:eastAsia="Verdana" w:cstheme="majorBidi"/>
          <w:b w:val="0"/>
          <w:bCs w:val="0"/>
          <w:color w:val="000000" w:themeColor="text1"/>
          <w:sz w:val="22"/>
          <w:szCs w:val="22"/>
        </w:rPr>
      </w:pPr>
      <w:bookmarkStart w:name="_Toc234590979" w:id="8"/>
    </w:p>
    <w:p w:rsidR="006D1474" w:rsidP="006D1474" w:rsidRDefault="006D1474" w14:paraId="06F60966" w14:textId="77777777">
      <w:pPr>
        <w:spacing w:after="5" w:line="249" w:lineRule="auto"/>
        <w:jc w:val="both"/>
        <w:rPr>
          <w:rFonts w:ascii="Verdana" w:hAnsi="Verdana" w:eastAsia="Verdana" w:cs="Verdana"/>
        </w:rPr>
      </w:pPr>
      <w:r w:rsidRPr="006D1474">
        <w:rPr>
          <w:rFonts w:ascii="Verdana" w:hAnsi="Verdana" w:eastAsia="Verdana" w:cs="Verdana"/>
        </w:rPr>
        <w:t>En el marco del proceso de delimitación participativa del Complejo de Páramos Jurisdicciones–Santurbán–Berlín, las comunidades, las entidades del Estado y los demás actores del territorio construyeron de manera concertada un conjunto de orientaciones dirigidas a promover la transición gradual hacia sistemas productivos compatibles con la conservación del ecosistema de páramo. Estos lineamientos fueron consolidados durante las fases de consulta e iniciativa y posteriormente validados y acordados en la fase de concertación, constituyéndose en uno de los principales referentes para orientar la implementación de procesos de reconversión productiva en el territorio.</w:t>
      </w:r>
    </w:p>
    <w:p w:rsidR="00D9389D" w:rsidP="006D1474" w:rsidRDefault="00D9389D" w14:paraId="75336900" w14:textId="77777777">
      <w:pPr>
        <w:spacing w:after="5" w:line="249" w:lineRule="auto"/>
        <w:jc w:val="both"/>
        <w:rPr>
          <w:rFonts w:ascii="Verdana" w:hAnsi="Verdana" w:eastAsia="Verdana" w:cs="Verdana"/>
        </w:rPr>
      </w:pPr>
    </w:p>
    <w:p w:rsidR="00D9389D" w:rsidP="006D1474" w:rsidRDefault="00D9389D" w14:paraId="2E794496" w14:textId="0C0E4DD7">
      <w:pPr>
        <w:spacing w:after="5" w:line="249" w:lineRule="auto"/>
        <w:jc w:val="both"/>
        <w:rPr>
          <w:rFonts w:ascii="Verdana" w:hAnsi="Verdana" w:eastAsia="Verdana" w:cs="Verdana"/>
        </w:rPr>
      </w:pPr>
      <w:r w:rsidRPr="00D9389D">
        <w:rPr>
          <w:rFonts w:ascii="Verdana" w:hAnsi="Verdana" w:eastAsia="Verdana" w:cs="Verdana"/>
        </w:rPr>
        <w:t xml:space="preserve">Estos lineamientos son el resultado del proceso de diálogo entre el Ministerio de Agricultura y Desarrollo Rural y el Ministerio de Ambiente y Desarrollo Sostenible, y del análisis de las propuestas, opiniones, juicios, análisis y alternativas recibidas en la fase de “Consulta e iniciativa” del proceso participativo para la delimitación del páramo Santurbán. En total se recibieron 632 propuestas, opiniones, juicios, análisis y alternativas relacionadas con el sector agropecuario; con dicha información se definieron seis (6) categorías temáticas: 1. Censo y caracterización de actividades agropecuarias 2. Protección ambiental y servicios ecosistémicos 3. Prácticas de manejo de actividades </w:t>
      </w:r>
      <w:r w:rsidRPr="00D9389D">
        <w:rPr>
          <w:rFonts w:ascii="Verdana" w:hAnsi="Verdana" w:eastAsia="Verdana" w:cs="Verdana"/>
        </w:rPr>
        <w:t xml:space="preserve">agropecuarias 4. Incertidumbre al cambio 5. Desarrollo rural 6. </w:t>
      </w:r>
      <w:r>
        <w:rPr>
          <w:rFonts w:ascii="Verdana" w:hAnsi="Verdana" w:eastAsia="Verdana" w:cs="Verdana"/>
        </w:rPr>
        <w:t xml:space="preserve">Y </w:t>
      </w:r>
      <w:r w:rsidRPr="00D9389D">
        <w:rPr>
          <w:rFonts w:ascii="Verdana" w:hAnsi="Verdana" w:eastAsia="Verdana" w:cs="Verdana"/>
        </w:rPr>
        <w:t>Extensión rural</w:t>
      </w:r>
      <w:r>
        <w:rPr>
          <w:rFonts w:ascii="Verdana" w:hAnsi="Verdana" w:eastAsia="Verdana" w:cs="Verdana"/>
        </w:rPr>
        <w:t>.</w:t>
      </w:r>
    </w:p>
    <w:p w:rsidRPr="006D1474" w:rsidR="006D1474" w:rsidP="006D1474" w:rsidRDefault="006D1474" w14:paraId="726F4628" w14:textId="77777777">
      <w:pPr>
        <w:spacing w:after="5" w:line="249" w:lineRule="auto"/>
        <w:jc w:val="both"/>
        <w:rPr>
          <w:rFonts w:ascii="Verdana" w:hAnsi="Verdana" w:eastAsia="Verdana" w:cs="Verdana"/>
        </w:rPr>
      </w:pPr>
    </w:p>
    <w:p w:rsidR="006D1474" w:rsidP="006D1474" w:rsidRDefault="006D1474" w14:paraId="27D348CD" w14:textId="77777777">
      <w:pPr>
        <w:spacing w:after="5" w:line="249" w:lineRule="auto"/>
        <w:jc w:val="both"/>
        <w:rPr>
          <w:rFonts w:ascii="Verdana" w:hAnsi="Verdana" w:eastAsia="Verdana" w:cs="Verdana"/>
        </w:rPr>
      </w:pPr>
      <w:r w:rsidRPr="006D1474">
        <w:rPr>
          <w:rFonts w:ascii="Verdana" w:hAnsi="Verdana" w:eastAsia="Verdana" w:cs="Verdana"/>
        </w:rPr>
        <w:t>Los lineamientos parten del reconocimiento de que la permanencia de los habitantes tradicionales en el páramo debe armonizarse con la protección de los servicios ecosistémicos que estos territorios proveen al país. En consecuencia, la reconversión productiva se concibe como un proceso gradual, concertado e integral que busca fortalecer los medios de vida de las comunidades rurales, mejorar la sostenibilidad de los sistemas agropecuarios y reducir progresivamente los impactos generados sobre el ecosistema, mediante la adopción de prácticas ambientalmente sostenibles y el fortalecimiento de la gobernanza territorial.</w:t>
      </w:r>
    </w:p>
    <w:p w:rsidRPr="006D1474" w:rsidR="001A7AE9" w:rsidP="006D1474" w:rsidRDefault="001A7AE9" w14:paraId="462C9C43" w14:textId="77777777">
      <w:pPr>
        <w:spacing w:after="5" w:line="249" w:lineRule="auto"/>
        <w:jc w:val="both"/>
        <w:rPr>
          <w:rFonts w:ascii="Verdana" w:hAnsi="Verdana" w:eastAsia="Verdana" w:cs="Verdana"/>
        </w:rPr>
      </w:pPr>
    </w:p>
    <w:p w:rsidR="006D1474" w:rsidP="006D1474" w:rsidRDefault="006D1474" w14:paraId="6F9CA388" w14:textId="77777777">
      <w:pPr>
        <w:spacing w:after="5" w:line="249" w:lineRule="auto"/>
        <w:jc w:val="both"/>
        <w:rPr>
          <w:rFonts w:ascii="Verdana" w:hAnsi="Verdana" w:eastAsia="Verdana" w:cs="Verdana"/>
        </w:rPr>
      </w:pPr>
      <w:r w:rsidRPr="006D1474">
        <w:rPr>
          <w:rFonts w:ascii="Verdana" w:hAnsi="Verdana" w:eastAsia="Verdana" w:cs="Verdana"/>
        </w:rPr>
        <w:t xml:space="preserve">En este contexto, las actividades agropecuarias de bajo impacto corresponden a aquellos sistemas de producción agrícola, pecuaria, forestal, acuícola y pesquera que satisfacen las necesidades básicas y contribuyen al bienestar económico de los habitantes tradicionales, sin comprometer la funcionalidad ecológica del páramo ni la prestación de sus servicios ecosistémicos. Estas actividades se fundamentan en principios de sostenibilidad ambiental, reciprocidad, cooperación y solidaridad comunitaria, privilegiando el trabajo familiar y asociativo como base para la consolidación de medios de vida sostenibles. </w:t>
      </w:r>
    </w:p>
    <w:p w:rsidRPr="006D1474" w:rsidR="001A7AE9" w:rsidP="006D1474" w:rsidRDefault="001A7AE9" w14:paraId="45801A19" w14:textId="77777777">
      <w:pPr>
        <w:spacing w:after="5" w:line="249" w:lineRule="auto"/>
        <w:jc w:val="both"/>
        <w:rPr>
          <w:rFonts w:ascii="Verdana" w:hAnsi="Verdana" w:eastAsia="Verdana" w:cs="Verdana"/>
        </w:rPr>
      </w:pPr>
    </w:p>
    <w:p w:rsidR="006D1474" w:rsidP="006D1474" w:rsidRDefault="006D1474" w14:paraId="673A880C" w14:textId="77777777">
      <w:pPr>
        <w:spacing w:after="5" w:line="249" w:lineRule="auto"/>
        <w:jc w:val="both"/>
        <w:rPr>
          <w:rFonts w:ascii="Verdana" w:hAnsi="Verdana" w:eastAsia="Verdana" w:cs="Verdana"/>
        </w:rPr>
      </w:pPr>
      <w:r w:rsidRPr="006D1474">
        <w:rPr>
          <w:rFonts w:ascii="Verdana" w:hAnsi="Verdana" w:eastAsia="Verdana" w:cs="Verdana"/>
        </w:rPr>
        <w:t>Para ello, los sistemas productivos deberán incorporar buenas prácticas orientadas a la conservación del ecosistema, entre las cuales se destacan:</w:t>
      </w:r>
    </w:p>
    <w:p w:rsidRPr="006D1474" w:rsidR="001A7AE9" w:rsidP="006D1474" w:rsidRDefault="001A7AE9" w14:paraId="20A5DAC3" w14:textId="77777777">
      <w:pPr>
        <w:spacing w:after="5" w:line="249" w:lineRule="auto"/>
        <w:jc w:val="both"/>
        <w:rPr>
          <w:rFonts w:ascii="Verdana" w:hAnsi="Verdana" w:eastAsia="Verdana" w:cs="Verdana"/>
        </w:rPr>
      </w:pPr>
    </w:p>
    <w:p w:rsidRPr="001A7AE9" w:rsidR="006D1474" w:rsidRDefault="006D1474" w14:paraId="4B822713"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conservación y protección de las coberturas naturales y de los remanentes de vegetación nativa. </w:t>
      </w:r>
    </w:p>
    <w:p w:rsidRPr="001A7AE9" w:rsidR="006D1474" w:rsidRDefault="006D1474" w14:paraId="5B21E143"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protección de nacimientos, humedales, quebradas y demás fuentes hídricas superficiales y subterráneas. </w:t>
      </w:r>
    </w:p>
    <w:p w:rsidRPr="001A7AE9" w:rsidR="006D1474" w:rsidRDefault="006D1474" w14:paraId="3DCBAD9E"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implementación de herramientas de manejo del paisaje, tales como cercas vivas, barreras vivas, sistemas silvopastoriles y agroforestales con especies nativas, así como el aislamiento de áreas destinadas a la conservación. </w:t>
      </w:r>
    </w:p>
    <w:p w:rsidRPr="001A7AE9" w:rsidR="006D1474" w:rsidRDefault="006D1474" w14:paraId="49D05DEA"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recuperación y protección de especies vegetales estructurantes de los ecosistemas de páramo, incluyendo </w:t>
      </w:r>
      <w:proofErr w:type="spellStart"/>
      <w:r w:rsidRPr="001A7AE9">
        <w:rPr>
          <w:rFonts w:ascii="Verdana" w:hAnsi="Verdana" w:eastAsia="Verdana" w:cs="Verdana"/>
        </w:rPr>
        <w:t>frailejonales</w:t>
      </w:r>
      <w:proofErr w:type="spellEnd"/>
      <w:r w:rsidRPr="001A7AE9">
        <w:rPr>
          <w:rFonts w:ascii="Verdana" w:hAnsi="Verdana" w:eastAsia="Verdana" w:cs="Verdana"/>
        </w:rPr>
        <w:t xml:space="preserve">, pajonales, </w:t>
      </w:r>
      <w:proofErr w:type="spellStart"/>
      <w:r w:rsidRPr="001A7AE9">
        <w:rPr>
          <w:rFonts w:ascii="Verdana" w:hAnsi="Verdana" w:eastAsia="Verdana" w:cs="Verdana"/>
        </w:rPr>
        <w:t>chuscales</w:t>
      </w:r>
      <w:proofErr w:type="spellEnd"/>
      <w:r w:rsidRPr="001A7AE9">
        <w:rPr>
          <w:rFonts w:ascii="Verdana" w:hAnsi="Verdana" w:eastAsia="Verdana" w:cs="Verdana"/>
        </w:rPr>
        <w:t xml:space="preserve">, matorrales y bosques altoandinos. </w:t>
      </w:r>
    </w:p>
    <w:p w:rsidRPr="001A7AE9" w:rsidR="006D1474" w:rsidRDefault="006D1474" w14:paraId="59AFB9D7"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De igual manera, deberán promoverse prácticas de manejo sostenible de los sistemas agropecuarios, entre ellas:</w:t>
      </w:r>
    </w:p>
    <w:p w:rsidRPr="001A7AE9" w:rsidR="006D1474" w:rsidRDefault="006D1474" w14:paraId="45795328"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incorporación de coberturas vegetales permanentes y abonos orgánicos. </w:t>
      </w:r>
    </w:p>
    <w:p w:rsidRPr="001A7AE9" w:rsidR="006D1474" w:rsidRDefault="006D1474" w14:paraId="5A780E81"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aplicación de prácticas de labranza mínima y conservación de suelos. </w:t>
      </w:r>
    </w:p>
    <w:p w:rsidRPr="001A7AE9" w:rsidR="006D1474" w:rsidRDefault="006D1474" w14:paraId="4AD1570F"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El manejo integrado de plagas y enfermedades mediante alternativas de bajo impacto ambiental. </w:t>
      </w:r>
    </w:p>
    <w:p w:rsidRPr="001A7AE9" w:rsidR="006D1474" w:rsidRDefault="006D1474" w14:paraId="5C05BF60" w14:textId="77777777">
      <w:pPr>
        <w:pStyle w:val="Prrafodelista"/>
        <w:numPr>
          <w:ilvl w:val="0"/>
          <w:numId w:val="3"/>
        </w:numPr>
        <w:spacing w:after="5" w:line="249" w:lineRule="auto"/>
        <w:jc w:val="both"/>
        <w:rPr>
          <w:rFonts w:ascii="Verdana" w:hAnsi="Verdana" w:eastAsia="Verdana" w:cs="Verdana"/>
        </w:rPr>
      </w:pPr>
      <w:r w:rsidRPr="3D8C40D4" w:rsidR="392F286C">
        <w:rPr>
          <w:rFonts w:ascii="Verdana" w:hAnsi="Verdana" w:eastAsia="Verdana" w:cs="Verdana"/>
        </w:rPr>
        <w:t xml:space="preserve">La fertilización basada en análisis de suelos y el uso preferente de insumos orgánicos. </w:t>
      </w:r>
    </w:p>
    <w:p w:rsidR="3D8C40D4" w:rsidP="3D8C40D4" w:rsidRDefault="3D8C40D4" w14:paraId="162B82E0" w14:textId="5A19BDDA">
      <w:pPr>
        <w:pStyle w:val="Normal"/>
        <w:spacing w:after="5" w:line="249" w:lineRule="auto"/>
        <w:jc w:val="both"/>
        <w:rPr>
          <w:rFonts w:ascii="Verdana" w:hAnsi="Verdana" w:eastAsia="Verdana" w:cs="Verdana"/>
        </w:rPr>
      </w:pPr>
    </w:p>
    <w:p w:rsidRPr="001A7AE9" w:rsidR="006D1474" w:rsidRDefault="006D1474" w14:paraId="638BB96A"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adecuada gestión de residuos sólidos y líquidos derivados de la producción. </w:t>
      </w:r>
    </w:p>
    <w:p w:rsidRPr="001A7AE9" w:rsidR="006D1474" w:rsidRDefault="006D1474" w14:paraId="0254F4CC"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La eliminación progresiva del uso de plaguicidas altamente peligrosos. </w:t>
      </w:r>
    </w:p>
    <w:p w:rsidR="006D1474" w:rsidRDefault="006D1474" w14:paraId="103FEF0F" w14:textId="77777777">
      <w:pPr>
        <w:pStyle w:val="Prrafodelista"/>
        <w:numPr>
          <w:ilvl w:val="0"/>
          <w:numId w:val="3"/>
        </w:numPr>
        <w:spacing w:after="5" w:line="249" w:lineRule="auto"/>
        <w:jc w:val="both"/>
        <w:rPr>
          <w:rFonts w:ascii="Verdana" w:hAnsi="Verdana" w:eastAsia="Verdana" w:cs="Verdana"/>
        </w:rPr>
      </w:pPr>
      <w:r w:rsidRPr="001A7AE9">
        <w:rPr>
          <w:rFonts w:ascii="Verdana" w:hAnsi="Verdana" w:eastAsia="Verdana" w:cs="Verdana"/>
        </w:rPr>
        <w:t xml:space="preserve">El cumplimiento de las prohibiciones establecidas en la Ley 1930 de 2018 para las actividades desarrolladas en páramos. </w:t>
      </w:r>
    </w:p>
    <w:p w:rsidRPr="001A7AE9" w:rsidR="001A7AE9" w:rsidP="001A7AE9" w:rsidRDefault="001A7AE9" w14:paraId="6F93B7EB" w14:textId="77777777">
      <w:pPr>
        <w:pStyle w:val="Prrafodelista"/>
        <w:spacing w:after="5" w:line="249" w:lineRule="auto"/>
        <w:ind w:left="720" w:firstLine="0"/>
        <w:jc w:val="both"/>
        <w:rPr>
          <w:rFonts w:ascii="Verdana" w:hAnsi="Verdana" w:eastAsia="Verdana" w:cs="Verdana"/>
        </w:rPr>
      </w:pPr>
    </w:p>
    <w:p w:rsidR="006D1474" w:rsidP="006D1474" w:rsidRDefault="006D1474" w14:paraId="7FC2C7B9" w14:textId="4D7B9948">
      <w:pPr>
        <w:spacing w:after="5" w:line="249" w:lineRule="auto"/>
        <w:jc w:val="both"/>
        <w:rPr>
          <w:rFonts w:ascii="Verdana" w:hAnsi="Verdana" w:eastAsia="Verdana" w:cs="Verdana"/>
        </w:rPr>
      </w:pPr>
      <w:r w:rsidRPr="006D1474">
        <w:rPr>
          <w:rFonts w:ascii="Verdana" w:hAnsi="Verdana" w:eastAsia="Verdana" w:cs="Verdana"/>
        </w:rPr>
        <w:t xml:space="preserve">Cuando las actividades agropecuarias no cumplan las condiciones para ser consideradas de bajo impacto, deberán implementarse programas de reconversión productiva que permitan transformar gradualmente los sistemas de producción hacia modelos compatibles con la conservación del páramo. Estos programas deberán impedir la ampliación de la frontera agropecuaria, priorizar la recuperación de áreas con coberturas naturales, identificar a los habitantes tradicionales como beneficiarios de las acciones de reconversión y promover esquemas de gobernanza, participación y fortalecimiento organizativo que faciliten la toma de decisiones compartidas sobre el </w:t>
      </w:r>
      <w:proofErr w:type="spellStart"/>
      <w:r w:rsidRPr="006D1474">
        <w:rPr>
          <w:rFonts w:ascii="Verdana" w:hAnsi="Verdana" w:eastAsia="Verdana" w:cs="Verdana"/>
        </w:rPr>
        <w:t>territorio.Asimismo</w:t>
      </w:r>
      <w:proofErr w:type="spellEnd"/>
      <w:r w:rsidRPr="006D1474">
        <w:rPr>
          <w:rFonts w:ascii="Verdana" w:hAnsi="Verdana" w:eastAsia="Verdana" w:cs="Verdana"/>
        </w:rPr>
        <w:t xml:space="preserve">, deberán incorporar procesos de innovación tecnológica, diversificación productiva, agricultura ecológica, fortalecimiento de capacidades locales, proyectos piloto y mecanismos de articulación interinstitucional y financiera que garanticen la sostenibilidad de las intervenciones. </w:t>
      </w:r>
    </w:p>
    <w:p w:rsidRPr="006D1474" w:rsidR="001A7AE9" w:rsidP="006D1474" w:rsidRDefault="001A7AE9" w14:paraId="3262DBA7" w14:textId="77777777">
      <w:pPr>
        <w:spacing w:after="5" w:line="249" w:lineRule="auto"/>
        <w:jc w:val="both"/>
        <w:rPr>
          <w:rFonts w:ascii="Verdana" w:hAnsi="Verdana" w:eastAsia="Verdana" w:cs="Verdana"/>
        </w:rPr>
      </w:pPr>
    </w:p>
    <w:p w:rsidR="006D1474" w:rsidP="006D1474" w:rsidRDefault="006D1474" w14:paraId="6E74FAAB" w14:textId="77777777">
      <w:pPr>
        <w:spacing w:after="5" w:line="249" w:lineRule="auto"/>
        <w:jc w:val="both"/>
        <w:rPr>
          <w:rFonts w:ascii="Verdana" w:hAnsi="Verdana" w:eastAsia="Verdana" w:cs="Verdana"/>
        </w:rPr>
      </w:pPr>
      <w:r w:rsidRPr="006D1474">
        <w:rPr>
          <w:rFonts w:ascii="Verdana" w:hAnsi="Verdana" w:eastAsia="Verdana" w:cs="Verdana"/>
        </w:rPr>
        <w:t xml:space="preserve">En aquellos casos en que la legislación vigente no permita la continuidad de determinadas actividades agropecuarias, deberán desarrollarse programas de sustitución productiva, orientados a promover alternativas económicas compatibles con la conservación del páramo, tales como la restauración ecológica, el aprovechamiento sostenible de los servicios ecosistémicos, el ecoturismo, la producción artesanal y otras actividades no agropecuarias, garantizando en todo momento la participación de los habitantes tradicionales, la protección de sus medios de vida y la mejora de sus condiciones socioeconómicas. </w:t>
      </w:r>
    </w:p>
    <w:p w:rsidRPr="006D1474" w:rsidR="001A7AE9" w:rsidP="006D1474" w:rsidRDefault="001A7AE9" w14:paraId="0821D7E2" w14:textId="77777777">
      <w:pPr>
        <w:spacing w:after="5" w:line="249" w:lineRule="auto"/>
        <w:jc w:val="both"/>
        <w:rPr>
          <w:rFonts w:ascii="Verdana" w:hAnsi="Verdana" w:eastAsia="Verdana" w:cs="Verdana"/>
        </w:rPr>
      </w:pPr>
    </w:p>
    <w:p w:rsidRPr="006D1474" w:rsidR="006D1474" w:rsidP="006D1474" w:rsidRDefault="006D1474" w14:paraId="18C152B5" w14:textId="77777777">
      <w:pPr>
        <w:spacing w:after="5" w:line="249" w:lineRule="auto"/>
        <w:jc w:val="both"/>
        <w:rPr>
          <w:rFonts w:ascii="Verdana" w:hAnsi="Verdana" w:eastAsia="Verdana" w:cs="Verdana"/>
        </w:rPr>
      </w:pPr>
      <w:r w:rsidRPr="006D1474">
        <w:rPr>
          <w:rFonts w:ascii="Verdana" w:hAnsi="Verdana" w:eastAsia="Verdana" w:cs="Verdana"/>
        </w:rPr>
        <w:t xml:space="preserve">Como eje transversal de estos procesos, la investigación, la educación ambiental, la asistencia técnica, la innovación y la extensión agropecuaria constituyen herramientas fundamentales para fortalecer las capacidades de las comunidades y facilitar la adopción de tecnologías y prácticas sostenibles. De igual manera, la implementación de instrumentos económicos, incluyendo los Pagos por Servicios Ambientales y otros incentivos previstos en la legislación nacional, deberá contribuir a garantizar la sostenibilidad financiera de los programas de reconversión y sustitución productiva, articulando recursos públicos, privados y de cooperación internacional. </w:t>
      </w:r>
    </w:p>
    <w:p w:rsidR="43ACAF5B" w:rsidP="43ACAF5B" w:rsidRDefault="43ACAF5B" w14:paraId="1A594A13" w14:textId="789A4131">
      <w:pPr>
        <w:pStyle w:val="Ttulo1"/>
        <w:ind w:left="900"/>
        <w:rPr>
          <w:rFonts w:ascii="Verdana" w:hAnsi="Verdana" w:eastAsia="Verdana" w:cs="" w:cstheme="majorBidi"/>
          <w:b w:val="0"/>
          <w:bCs w:val="0"/>
          <w:color w:val="000000" w:themeColor="text1" w:themeTint="FF" w:themeShade="FF"/>
          <w:sz w:val="22"/>
          <w:szCs w:val="22"/>
        </w:rPr>
      </w:pPr>
    </w:p>
    <w:p w:rsidR="3D8C40D4" w:rsidP="3D8C40D4" w:rsidRDefault="3D8C40D4" w14:paraId="241CD4A9" w14:textId="7C9F3FDA">
      <w:pPr>
        <w:pStyle w:val="Ttulo1"/>
        <w:ind w:left="900"/>
        <w:rPr>
          <w:rFonts w:ascii="Verdana" w:hAnsi="Verdana" w:eastAsia="Verdana" w:cs="" w:cstheme="majorBidi"/>
          <w:b w:val="0"/>
          <w:bCs w:val="0"/>
          <w:color w:val="000000" w:themeColor="text1" w:themeTint="FF" w:themeShade="FF"/>
          <w:sz w:val="22"/>
          <w:szCs w:val="22"/>
        </w:rPr>
      </w:pPr>
    </w:p>
    <w:p w:rsidRPr="006D1474" w:rsidR="006D1474" w:rsidP="006D1474" w:rsidRDefault="006D1474" w14:paraId="2DF1B87C" w14:textId="77777777">
      <w:pPr>
        <w:pStyle w:val="Ttulo1"/>
        <w:ind w:left="900"/>
        <w:rPr>
          <w:rFonts w:ascii="Verdana" w:hAnsi="Verdana" w:eastAsia="Verdana" w:cstheme="majorBidi"/>
          <w:b w:val="0"/>
          <w:bCs w:val="0"/>
          <w:color w:val="000000" w:themeColor="text1"/>
          <w:sz w:val="22"/>
          <w:szCs w:val="22"/>
        </w:rPr>
      </w:pPr>
    </w:p>
    <w:p w:rsidRPr="003F7551" w:rsidR="006C368C" w:rsidRDefault="006C368C" w14:paraId="0AFA3BEC" w14:textId="300EAEBE">
      <w:pPr>
        <w:pStyle w:val="Ttulo1"/>
        <w:numPr>
          <w:ilvl w:val="0"/>
          <w:numId w:val="2"/>
        </w:numPr>
        <w:ind w:left="900" w:hanging="720"/>
        <w:rPr>
          <w:rFonts w:ascii="Verdana" w:hAnsi="Verdana" w:eastAsia="Verdana" w:cstheme="majorBidi"/>
          <w:b w:val="0"/>
          <w:bCs w:val="0"/>
          <w:color w:val="000000" w:themeColor="text1"/>
          <w:sz w:val="22"/>
          <w:szCs w:val="22"/>
        </w:rPr>
      </w:pPr>
      <w:r w:rsidRPr="003F7551">
        <w:rPr>
          <w:rFonts w:ascii="Verdana" w:hAnsi="Verdana" w:eastAsia="Verdana" w:cstheme="majorBidi"/>
          <w:color w:val="000000" w:themeColor="text1"/>
          <w:sz w:val="22"/>
          <w:szCs w:val="22"/>
        </w:rPr>
        <w:t xml:space="preserve">Fase de </w:t>
      </w:r>
      <w:proofErr w:type="spellStart"/>
      <w:r w:rsidRPr="003F7551">
        <w:rPr>
          <w:rFonts w:ascii="Verdana" w:hAnsi="Verdana" w:eastAsia="Verdana" w:cstheme="majorBidi"/>
          <w:color w:val="000000" w:themeColor="text1"/>
          <w:sz w:val="22"/>
          <w:szCs w:val="22"/>
        </w:rPr>
        <w:t>Concertación</w:t>
      </w:r>
      <w:bookmarkEnd w:id="8"/>
      <w:proofErr w:type="spellEnd"/>
      <w:r w:rsidRPr="003F7551">
        <w:rPr>
          <w:rFonts w:ascii="Verdana" w:hAnsi="Verdana" w:eastAsia="Verdana" w:cstheme="majorBidi"/>
          <w:color w:val="000000" w:themeColor="text1"/>
          <w:sz w:val="22"/>
          <w:szCs w:val="22"/>
        </w:rPr>
        <w:t xml:space="preserve"> </w:t>
      </w:r>
    </w:p>
    <w:p w:rsidR="006C368C" w:rsidP="006C368C" w:rsidRDefault="006C368C" w14:paraId="3CD993FE" w14:textId="77777777">
      <w:pPr>
        <w:spacing w:after="5" w:line="249" w:lineRule="auto"/>
        <w:jc w:val="both"/>
        <w:rPr>
          <w:rFonts w:ascii="Verdana" w:hAnsi="Verdana" w:eastAsia="Verdana" w:cs="Verdana"/>
        </w:rPr>
      </w:pPr>
    </w:p>
    <w:p w:rsidR="006C368C" w:rsidP="006C368C" w:rsidRDefault="006C368C" w14:paraId="020F4727" w14:textId="77777777">
      <w:pPr>
        <w:spacing w:after="5" w:line="249" w:lineRule="auto"/>
        <w:jc w:val="both"/>
        <w:rPr>
          <w:rFonts w:ascii="Verdana" w:hAnsi="Verdana" w:eastAsia="Verdana" w:cs="Verdana"/>
        </w:rPr>
      </w:pPr>
      <w:r w:rsidRPr="7291CF42">
        <w:rPr>
          <w:rFonts w:ascii="Verdana" w:hAnsi="Verdana" w:eastAsia="Verdana" w:cs="Verdana"/>
        </w:rPr>
        <w:t xml:space="preserve">En el marco del desarrollo de la Fase de Concertación del Páramo Jurisdicciones – Santurbán – Berlín, y de acuerdo con la metodología definida por la Dirección de Bosques, Biodiversidad y Servicios Ecosistémicos (DBBSE) del Ministerio de Ambiente y Desarrollo Sostenible, se presentó la propuesta de </w:t>
      </w:r>
      <w:r w:rsidRPr="7291CF42">
        <w:rPr>
          <w:rFonts w:ascii="Verdana" w:hAnsi="Verdana" w:eastAsia="Verdana" w:cs="Verdana"/>
          <w:i/>
          <w:iCs/>
        </w:rPr>
        <w:t>Lineamientos para los Programas de Reconversión y Sustitución de las Actividades Agropecuarias</w:t>
      </w:r>
      <w:r w:rsidRPr="7291CF42">
        <w:rPr>
          <w:rFonts w:ascii="Verdana" w:hAnsi="Verdana" w:eastAsia="Verdana" w:cs="Verdana"/>
        </w:rPr>
        <w:t xml:space="preserve">, elaborada a partir de los aportes recibidos durante la Fase de Consulta e Iniciativa, en los </w:t>
      </w:r>
      <w:r w:rsidRPr="7291CF42">
        <w:rPr>
          <w:rFonts w:ascii="Verdana" w:hAnsi="Verdana" w:eastAsia="Verdana" w:cs="Verdana"/>
          <w:b/>
          <w:bCs/>
        </w:rPr>
        <w:t xml:space="preserve">40 </w:t>
      </w:r>
      <w:r w:rsidRPr="7291CF42">
        <w:rPr>
          <w:rFonts w:ascii="Verdana" w:hAnsi="Verdana" w:eastAsia="Verdana" w:cs="Verdana"/>
        </w:rPr>
        <w:t>municipios que integran el área de referencia del Páramo Jurisdicciones – Santurbán – Berlín.</w:t>
      </w:r>
    </w:p>
    <w:p w:rsidR="006C368C" w:rsidP="006C368C" w:rsidRDefault="006C368C" w14:paraId="1F294869" w14:textId="77777777">
      <w:pPr>
        <w:spacing w:after="5" w:line="249" w:lineRule="auto"/>
        <w:jc w:val="both"/>
        <w:rPr>
          <w:rFonts w:ascii="Verdana" w:hAnsi="Verdana" w:eastAsia="Verdana" w:cs="Verdana"/>
        </w:rPr>
      </w:pPr>
    </w:p>
    <w:p w:rsidR="006C368C" w:rsidP="006C368C" w:rsidRDefault="006C368C" w14:paraId="0D56A3DF" w14:textId="39A109BE">
      <w:pPr>
        <w:jc w:val="both"/>
        <w:rPr>
          <w:rFonts w:ascii="Verdana" w:hAnsi="Verdana" w:eastAsia="Verdana" w:cs="Verdana"/>
        </w:rPr>
      </w:pPr>
      <w:r w:rsidRPr="43ACAF5B" w:rsidR="2ACC00F1">
        <w:rPr>
          <w:rFonts w:ascii="Verdana" w:hAnsi="Verdana" w:eastAsia="Verdana" w:cs="Verdana"/>
        </w:rPr>
        <w:t xml:space="preserve">Luego de diálogos deliberativos con las partes interesadas, se alcanzó un consenso razonado respecto a la propuesta presentada en el marco del tema de diálogo o ineludible: </w:t>
      </w:r>
      <w:r w:rsidRPr="43ACAF5B" w:rsidR="2ACC00F1">
        <w:rPr>
          <w:rFonts w:ascii="Verdana" w:hAnsi="Verdana" w:eastAsia="Verdana" w:cs="Verdana"/>
          <w:i w:val="1"/>
          <w:iCs w:val="1"/>
        </w:rPr>
        <w:t xml:space="preserve">Lineamientos para los Programas de Reconversión y Sustitución de las Actividades Agropecuarias </w:t>
      </w:r>
      <w:r w:rsidRPr="43ACAF5B" w:rsidR="2ACC00F1">
        <w:rPr>
          <w:rFonts w:ascii="Verdana" w:hAnsi="Verdana" w:eastAsia="Verdana" w:cs="Verdana"/>
        </w:rPr>
        <w:t xml:space="preserve">en </w:t>
      </w:r>
      <w:r w:rsidRPr="43ACAF5B" w:rsidR="2ACC00F1">
        <w:rPr>
          <w:rFonts w:ascii="Verdana" w:hAnsi="Verdana" w:eastAsia="Verdana" w:cs="Verdana"/>
          <w:b w:val="1"/>
          <w:bCs w:val="1"/>
        </w:rPr>
        <w:t>24 municipios (</w:t>
      </w:r>
      <w:r w:rsidRPr="43ACAF5B" w:rsidR="2ACC00F1">
        <w:rPr>
          <w:rFonts w:ascii="Verdana" w:hAnsi="Verdana" w:eastAsia="Verdana" w:cs="Verdana"/>
        </w:rPr>
        <w:t xml:space="preserve">Vetas (S), California (S), Matanza (S), El Playón (S), Charta (S), Piedecuesta (S), </w:t>
      </w:r>
      <w:r w:rsidRPr="43ACAF5B" w:rsidR="2ACC00F1">
        <w:rPr>
          <w:rFonts w:ascii="Verdana" w:hAnsi="Verdana" w:eastAsia="Verdana" w:cs="Verdana"/>
        </w:rPr>
        <w:t>Bucarasica</w:t>
      </w:r>
      <w:r w:rsidRPr="43ACAF5B" w:rsidR="2ACC00F1">
        <w:rPr>
          <w:rFonts w:ascii="Verdana" w:hAnsi="Verdana" w:eastAsia="Verdana" w:cs="Verdana"/>
        </w:rPr>
        <w:t xml:space="preserve"> (NS), Lourdes (NS), Gramalote (NS), "Suratá (S), (Cachiri)", Bochalema (NS), Chinácota (NS), Los Patios (NS), Pamplonita (NS), La Esperanza (NS), Puerto Santander (NS), Santiago (NS), San Cayetano (NS), El Zulia (NS), Toledo (NS), Villa del Rosario (NS), San José de Cúcuta (NS), Girón (S), Floridablanca (S).</w:t>
      </w:r>
      <w:r w:rsidRPr="43ACAF5B" w:rsidR="2ACC00F1">
        <w:rPr>
          <w:rFonts w:ascii="Verdana" w:hAnsi="Verdana" w:eastAsia="Verdana" w:cs="Verdana"/>
          <w:b w:val="1"/>
          <w:bCs w:val="1"/>
        </w:rPr>
        <w:t xml:space="preserve">) </w:t>
      </w:r>
      <w:r w:rsidRPr="43ACAF5B" w:rsidR="2ACC00F1">
        <w:rPr>
          <w:rFonts w:ascii="Verdana" w:hAnsi="Verdana" w:eastAsia="Verdana" w:cs="Verdana"/>
        </w:rPr>
        <w:t>de los 28 a la fecha julio de 2026 con fase de concertación cerrada</w:t>
      </w:r>
      <w:r w:rsidRPr="43ACAF5B" w:rsidR="2ACC00F1">
        <w:rPr>
          <w:rFonts w:ascii="Verdana" w:hAnsi="Verdana" w:eastAsia="Verdana" w:cs="Verdana"/>
          <w:b w:val="1"/>
          <w:bCs w:val="1"/>
        </w:rPr>
        <w:t xml:space="preserve"> n</w:t>
      </w:r>
      <w:r w:rsidRPr="43ACAF5B" w:rsidR="2ACC00F1">
        <w:rPr>
          <w:rFonts w:ascii="Verdana" w:hAnsi="Verdana" w:eastAsia="Verdana" w:cs="Verdana"/>
        </w:rPr>
        <w:t xml:space="preserve">o obstante, las comunidades realizaron aportes adicionales, los cuales fueron analizados desde el ámbito técnico y normativo, con el propósito de precisar los elementos que orientan dichos programas, en concordancia con lo establecido en la Sentencia T-361 de 2017. </w:t>
      </w:r>
    </w:p>
    <w:p w:rsidR="006C368C" w:rsidP="006C368C" w:rsidRDefault="006C368C" w14:paraId="4FD960F3" w14:textId="77777777">
      <w:pPr>
        <w:jc w:val="both"/>
        <w:rPr>
          <w:rFonts w:ascii="Verdana" w:hAnsi="Verdana" w:eastAsia="Verdana" w:cs="Verdana"/>
        </w:rPr>
      </w:pPr>
    </w:p>
    <w:p w:rsidR="006C368C" w:rsidP="006C368C" w:rsidRDefault="006C368C" w14:paraId="61693A4B" w14:textId="77777777">
      <w:pPr>
        <w:jc w:val="both"/>
        <w:rPr>
          <w:rFonts w:ascii="Verdana" w:hAnsi="Verdana" w:eastAsia="Verdana" w:cs="Verdana"/>
        </w:rPr>
      </w:pPr>
    </w:p>
    <w:p w:rsidR="006C368C" w:rsidP="006C368C" w:rsidRDefault="006C368C" w14:paraId="1CEE3E4B" w14:textId="77777777">
      <w:pPr>
        <w:jc w:val="both"/>
        <w:rPr>
          <w:rFonts w:ascii="Verdana" w:hAnsi="Verdana" w:eastAsia="Verdana" w:cs="Verdana"/>
        </w:rPr>
      </w:pPr>
    </w:p>
    <w:p w:rsidR="006C368C" w:rsidP="006C368C" w:rsidRDefault="006C368C" w14:paraId="7AD87E10" w14:textId="77777777">
      <w:pPr>
        <w:jc w:val="both"/>
        <w:rPr>
          <w:rFonts w:ascii="Verdana" w:hAnsi="Verdana" w:eastAsia="Verdana" w:cs="Verdana"/>
        </w:rPr>
        <w:sectPr w:rsidR="006C368C" w:rsidSect="006C368C">
          <w:headerReference w:type="default" r:id="rId12"/>
          <w:footerReference w:type="default" r:id="rId13"/>
          <w:pgSz w:w="12240" w:h="15840" w:orient="portrait"/>
          <w:pgMar w:top="2127" w:right="1701" w:bottom="1417" w:left="1701" w:header="708" w:footer="708" w:gutter="0"/>
          <w:pgNumType w:start="1"/>
          <w:cols w:space="708"/>
          <w:docGrid w:linePitch="360"/>
          <w:headerReference w:type="first" r:id="R5daf89e1535849e6"/>
          <w:footerReference w:type="first" r:id="R152fd46b34bf401f"/>
        </w:sectPr>
      </w:pPr>
    </w:p>
    <w:p w:rsidR="006C368C" w:rsidP="006C368C" w:rsidRDefault="006C368C" w14:paraId="5E691C34" w14:textId="77777777">
      <w:pPr>
        <w:jc w:val="both"/>
        <w:rPr>
          <w:rFonts w:ascii="Arial" w:hAnsi="Arial" w:eastAsia="Arial" w:cs="Arial"/>
        </w:rPr>
      </w:pPr>
    </w:p>
    <w:p w:rsidR="006C368C" w:rsidRDefault="006C368C" w14:paraId="22D9C916" w14:textId="77777777">
      <w:pPr>
        <w:pStyle w:val="Ttulo2"/>
        <w:numPr>
          <w:ilvl w:val="1"/>
          <w:numId w:val="2"/>
        </w:numPr>
        <w:ind w:left="900"/>
        <w:rPr>
          <w:rFonts w:ascii="Verdana" w:hAnsi="Verdana" w:eastAsia="Verdana"/>
          <w:b w:val="0"/>
          <w:bCs w:val="0"/>
          <w:color w:val="000000" w:themeColor="text1"/>
        </w:rPr>
      </w:pPr>
      <w:bookmarkStart w:name="_Toc234590980" w:id="9"/>
      <w:proofErr w:type="spellStart"/>
      <w:r w:rsidRPr="00D15080">
        <w:rPr>
          <w:rFonts w:ascii="Verdana" w:hAnsi="Verdana" w:eastAsia="Verdana" w:cstheme="majorBidi"/>
          <w:color w:val="000000" w:themeColor="text1"/>
        </w:rPr>
        <w:t>Análisis</w:t>
      </w:r>
      <w:proofErr w:type="spellEnd"/>
      <w:r w:rsidRPr="00D15080">
        <w:rPr>
          <w:rFonts w:ascii="Verdana" w:hAnsi="Verdana" w:eastAsia="Verdana" w:cstheme="majorBidi"/>
          <w:color w:val="000000" w:themeColor="text1"/>
        </w:rPr>
        <w:t xml:space="preserve"> de </w:t>
      </w:r>
      <w:proofErr w:type="spellStart"/>
      <w:r w:rsidRPr="00D15080">
        <w:rPr>
          <w:rFonts w:ascii="Verdana" w:hAnsi="Verdana" w:eastAsia="Verdana" w:cstheme="majorBidi"/>
          <w:color w:val="000000" w:themeColor="text1"/>
        </w:rPr>
        <w:t>participación</w:t>
      </w:r>
      <w:proofErr w:type="spellEnd"/>
      <w:r w:rsidRPr="00D15080">
        <w:rPr>
          <w:rFonts w:ascii="Verdana" w:hAnsi="Verdana" w:eastAsia="Verdana" w:cstheme="majorBidi"/>
          <w:color w:val="000000" w:themeColor="text1"/>
        </w:rPr>
        <w:t xml:space="preserve"> </w:t>
      </w:r>
      <w:proofErr w:type="spellStart"/>
      <w:r w:rsidRPr="00D15080">
        <w:rPr>
          <w:rFonts w:ascii="Verdana" w:hAnsi="Verdana" w:eastAsia="Verdana" w:cstheme="majorBidi"/>
          <w:color w:val="000000" w:themeColor="text1"/>
        </w:rPr>
        <w:t>en</w:t>
      </w:r>
      <w:proofErr w:type="spellEnd"/>
      <w:r w:rsidRPr="00D15080">
        <w:rPr>
          <w:rFonts w:ascii="Verdana" w:hAnsi="Verdana" w:eastAsia="Verdana" w:cstheme="majorBidi"/>
          <w:color w:val="000000" w:themeColor="text1"/>
        </w:rPr>
        <w:t xml:space="preserve"> la </w:t>
      </w:r>
      <w:proofErr w:type="spellStart"/>
      <w:r w:rsidRPr="00D15080">
        <w:rPr>
          <w:rFonts w:ascii="Verdana" w:hAnsi="Verdana" w:eastAsia="Verdana" w:cstheme="majorBidi"/>
          <w:color w:val="000000" w:themeColor="text1"/>
        </w:rPr>
        <w:t>fase</w:t>
      </w:r>
      <w:proofErr w:type="spellEnd"/>
      <w:r w:rsidRPr="00D15080">
        <w:rPr>
          <w:rFonts w:ascii="Verdana" w:hAnsi="Verdana" w:eastAsia="Verdana" w:cstheme="majorBidi"/>
          <w:color w:val="000000" w:themeColor="text1"/>
        </w:rPr>
        <w:t xml:space="preserve"> de </w:t>
      </w:r>
      <w:proofErr w:type="spellStart"/>
      <w:r w:rsidRPr="00D15080">
        <w:rPr>
          <w:rFonts w:ascii="Verdana" w:hAnsi="Verdana" w:eastAsia="Verdana" w:cstheme="majorBidi"/>
          <w:color w:val="000000" w:themeColor="text1"/>
        </w:rPr>
        <w:t>concertación</w:t>
      </w:r>
      <w:bookmarkEnd w:id="9"/>
      <w:proofErr w:type="spellEnd"/>
      <w:r w:rsidRPr="00D15080">
        <w:rPr>
          <w:rFonts w:ascii="Verdana" w:hAnsi="Verdana" w:eastAsia="Verdana" w:cstheme="majorBidi"/>
          <w:color w:val="000000" w:themeColor="text1"/>
        </w:rPr>
        <w:t xml:space="preserve"> </w:t>
      </w:r>
    </w:p>
    <w:p w:rsidRPr="00D15080" w:rsidR="006C368C" w:rsidP="006C368C" w:rsidRDefault="006C368C" w14:paraId="18041CE6" w14:textId="77777777"/>
    <w:tbl>
      <w:tblPr>
        <w:tblW w:w="127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704"/>
        <w:gridCol w:w="1276"/>
        <w:gridCol w:w="1120"/>
        <w:gridCol w:w="1431"/>
        <w:gridCol w:w="5540"/>
        <w:gridCol w:w="2636"/>
      </w:tblGrid>
      <w:tr w:rsidRPr="00D9389D" w:rsidR="00D9389D" w:rsidTr="3D8C40D4" w14:paraId="73A8E79F" w14:textId="77777777">
        <w:trPr>
          <w:trHeight w:val="552"/>
          <w:tblHeader/>
        </w:trPr>
        <w:tc>
          <w:tcPr>
            <w:tcW w:w="704" w:type="dxa"/>
            <w:noWrap/>
            <w:tcMar/>
            <w:vAlign w:val="center"/>
            <w:hideMark/>
          </w:tcPr>
          <w:p w:rsidRPr="00D9389D" w:rsidR="00D9389D" w:rsidP="00D9389D" w:rsidRDefault="00D9389D" w14:paraId="54D62CDF"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No</w:t>
            </w:r>
          </w:p>
        </w:tc>
        <w:tc>
          <w:tcPr>
            <w:tcW w:w="1276" w:type="dxa"/>
            <w:noWrap/>
            <w:tcMar/>
            <w:vAlign w:val="center"/>
            <w:hideMark/>
          </w:tcPr>
          <w:p w:rsidRPr="00D9389D" w:rsidR="00D9389D" w:rsidP="00D9389D" w:rsidRDefault="00D9389D" w14:paraId="3784536F"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Municipio</w:t>
            </w:r>
          </w:p>
        </w:tc>
        <w:tc>
          <w:tcPr>
            <w:tcW w:w="1120" w:type="dxa"/>
            <w:tcMar/>
            <w:vAlign w:val="center"/>
            <w:hideMark/>
          </w:tcPr>
          <w:p w:rsidRPr="00D9389D" w:rsidR="00D9389D" w:rsidP="00D9389D" w:rsidRDefault="00D9389D" w14:paraId="6A819CCB"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Lugar</w:t>
            </w:r>
          </w:p>
        </w:tc>
        <w:tc>
          <w:tcPr>
            <w:tcW w:w="1431" w:type="dxa"/>
            <w:tcMar/>
            <w:vAlign w:val="center"/>
            <w:hideMark/>
          </w:tcPr>
          <w:p w:rsidRPr="00D9389D" w:rsidR="00D9389D" w:rsidP="00D9389D" w:rsidRDefault="00D9389D" w14:paraId="0968FEED"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Fecha</w:t>
            </w:r>
          </w:p>
        </w:tc>
        <w:tc>
          <w:tcPr>
            <w:tcW w:w="5540" w:type="dxa"/>
            <w:tcMar/>
            <w:vAlign w:val="center"/>
            <w:hideMark/>
          </w:tcPr>
          <w:p w:rsidRPr="00D9389D" w:rsidR="00D9389D" w:rsidP="00D9389D" w:rsidRDefault="00D9389D" w14:paraId="1C088226" w14:noSpellErr="1" w14:textId="26065843">
            <w:pPr>
              <w:spacing w:after="0" w:line="240" w:lineRule="auto"/>
              <w:jc w:val="center"/>
              <w:rPr>
                <w:rFonts w:ascii="Verdana" w:hAnsi="Verdana" w:eastAsia="Times New Roman" w:cs="Calibri"/>
                <w:b w:val="1"/>
                <w:bCs w:val="1"/>
                <w:color w:val="000000"/>
                <w:sz w:val="16"/>
                <w:szCs w:val="16"/>
                <w:lang w:eastAsia="es-CO"/>
              </w:rPr>
            </w:pPr>
            <w:r w:rsidRPr="3D8C40D4" w:rsidR="26AF4576">
              <w:rPr>
                <w:rFonts w:ascii="Verdana" w:hAnsi="Verdana" w:eastAsia="Times New Roman" w:cs="Calibri"/>
                <w:b w:val="1"/>
                <w:bCs w:val="1"/>
                <w:color w:val="000000" w:themeColor="text1" w:themeTint="FF" w:themeShade="FF"/>
                <w:sz w:val="16"/>
                <w:szCs w:val="16"/>
                <w:lang w:eastAsia="es-CO"/>
              </w:rPr>
              <w:t>Acuerdo de reconversión y/o sustitución de actividades agropecuarias Santurbán</w:t>
            </w:r>
          </w:p>
        </w:tc>
        <w:tc>
          <w:tcPr>
            <w:tcW w:w="2636" w:type="dxa"/>
            <w:tcMar/>
            <w:vAlign w:val="center"/>
            <w:hideMark/>
          </w:tcPr>
          <w:p w:rsidRPr="00D9389D" w:rsidR="00D9389D" w:rsidP="00D9389D" w:rsidRDefault="00D9389D" w14:paraId="0D759A30"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Normatividad relacionada con los lineamientos.</w:t>
            </w:r>
          </w:p>
        </w:tc>
      </w:tr>
      <w:tr w:rsidRPr="00D9389D" w:rsidR="00D9389D" w:rsidTr="3D8C40D4" w14:paraId="79733331" w14:textId="77777777">
        <w:trPr>
          <w:trHeight w:val="8192"/>
        </w:trPr>
        <w:tc>
          <w:tcPr>
            <w:tcW w:w="704" w:type="dxa"/>
            <w:noWrap/>
            <w:tcMar/>
            <w:vAlign w:val="center"/>
            <w:hideMark/>
          </w:tcPr>
          <w:p w:rsidRPr="00D9389D" w:rsidR="00D9389D" w:rsidP="00D9389D" w:rsidRDefault="00D9389D" w14:paraId="31CAA3D7"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w:t>
            </w:r>
          </w:p>
        </w:tc>
        <w:tc>
          <w:tcPr>
            <w:tcW w:w="1276" w:type="dxa"/>
            <w:noWrap/>
            <w:tcMar/>
            <w:vAlign w:val="center"/>
            <w:hideMark/>
          </w:tcPr>
          <w:p w:rsidRPr="00D9389D" w:rsidR="00D9389D" w:rsidP="00D9389D" w:rsidRDefault="00D9389D" w14:paraId="45FC4A4B"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Vetas (S)</w:t>
            </w:r>
          </w:p>
        </w:tc>
        <w:tc>
          <w:tcPr>
            <w:tcW w:w="1120" w:type="dxa"/>
            <w:tcMar/>
            <w:vAlign w:val="center"/>
            <w:hideMark/>
          </w:tcPr>
          <w:p w:rsidRPr="00D9389D" w:rsidR="00D9389D" w:rsidP="00D9389D" w:rsidRDefault="00D9389D" w14:paraId="7ABAFB4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Casa Real Minera y Colegio San Juan Nepomuseno</w:t>
            </w:r>
          </w:p>
        </w:tc>
        <w:tc>
          <w:tcPr>
            <w:tcW w:w="1431" w:type="dxa"/>
            <w:tcMar/>
            <w:vAlign w:val="center"/>
            <w:hideMark/>
          </w:tcPr>
          <w:p w:rsidRPr="00D9389D" w:rsidR="00D9389D" w:rsidP="00D9389D" w:rsidRDefault="00D9389D" w14:paraId="7245EEE9"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19,20, 21 y 22 de </w:t>
            </w:r>
            <w:proofErr w:type="gramStart"/>
            <w:r w:rsidRPr="00D9389D">
              <w:rPr>
                <w:rFonts w:ascii="Verdana" w:hAnsi="Verdana" w:eastAsia="Times New Roman" w:cs="Calibri"/>
                <w:color w:val="000000"/>
                <w:sz w:val="16"/>
                <w:szCs w:val="16"/>
                <w:lang w:eastAsia="es-CO"/>
              </w:rPr>
              <w:t>octubre  de</w:t>
            </w:r>
            <w:proofErr w:type="gramEnd"/>
            <w:r w:rsidRPr="00D9389D">
              <w:rPr>
                <w:rFonts w:ascii="Verdana" w:hAnsi="Verdana" w:eastAsia="Times New Roman" w:cs="Calibri"/>
                <w:color w:val="000000"/>
                <w:sz w:val="16"/>
                <w:szCs w:val="16"/>
                <w:lang w:eastAsia="es-CO"/>
              </w:rPr>
              <w:t xml:space="preserve"> </w:t>
            </w:r>
            <w:proofErr w:type="gramStart"/>
            <w:r w:rsidRPr="00D9389D">
              <w:rPr>
                <w:rFonts w:ascii="Verdana" w:hAnsi="Verdana" w:eastAsia="Times New Roman" w:cs="Calibri"/>
                <w:color w:val="000000"/>
                <w:sz w:val="16"/>
                <w:szCs w:val="16"/>
                <w:lang w:eastAsia="es-CO"/>
              </w:rPr>
              <w:t>2021  y</w:t>
            </w:r>
            <w:proofErr w:type="gramEnd"/>
            <w:r w:rsidRPr="00D9389D">
              <w:rPr>
                <w:rFonts w:ascii="Verdana" w:hAnsi="Verdana" w:eastAsia="Times New Roman" w:cs="Calibri"/>
                <w:color w:val="000000"/>
                <w:sz w:val="16"/>
                <w:szCs w:val="16"/>
                <w:lang w:eastAsia="es-CO"/>
              </w:rPr>
              <w:t xml:space="preserve"> 29 de noviembre de 2021</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20 de </w:t>
            </w:r>
            <w:proofErr w:type="gramStart"/>
            <w:r w:rsidRPr="00D9389D">
              <w:rPr>
                <w:rFonts w:ascii="Verdana" w:hAnsi="Verdana" w:eastAsia="Times New Roman" w:cs="Calibri"/>
                <w:color w:val="000000"/>
                <w:sz w:val="16"/>
                <w:szCs w:val="16"/>
                <w:lang w:eastAsia="es-CO"/>
              </w:rPr>
              <w:t>Enero</w:t>
            </w:r>
            <w:proofErr w:type="gramEnd"/>
            <w:r w:rsidRPr="00D9389D">
              <w:rPr>
                <w:rFonts w:ascii="Verdana" w:hAnsi="Verdana" w:eastAsia="Times New Roman" w:cs="Calibri"/>
                <w:color w:val="000000"/>
                <w:sz w:val="16"/>
                <w:szCs w:val="16"/>
                <w:lang w:eastAsia="es-CO"/>
              </w:rPr>
              <w:t xml:space="preserve"> 2022</w:t>
            </w:r>
          </w:p>
        </w:tc>
        <w:tc>
          <w:tcPr>
            <w:tcW w:w="5540" w:type="dxa"/>
            <w:tcMar/>
            <w:vAlign w:val="center"/>
            <w:hideMark/>
          </w:tcPr>
          <w:p w:rsidRPr="00D9389D" w:rsidR="00D9389D" w:rsidP="00D9389D" w:rsidRDefault="00D9389D" w14:paraId="7FEB5C0C"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Para dar aplicación a los lineamientos contenidos en la resolución 1294 del 07 de diciembre de 2021, y en el marco del proceso de mediación, las partes acuerdan que el Ministerio de Agricultura y Desarrollo Rural presentará una propuesta de hoja de ruta para la caracterización predio a predio de la actividad agropecuaria en el municipio de Vetas, Santander. En este sentido, la propuesta de hoja de ruta que se presentará por el Ministerio de Agricultura y Desarrollo Rural será revisada de manera conjunta entre el mismo, la CDMB y el municipio de Vetas, con el fin de concertar una hoja de ruta final. Una vez validada y concertada la hoja de ruta final se dará aplicación en campo de la metodología propuesta por parte del Ministerio de Agricultura y Desarrollo Rural como proyecto piloto para evaluar la eficacia de la metodología propuesta y los ajustes pertinentes a la misma.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Una vez se identifique y clasifique la actividad agropecuaria de cada uno de los predios, se procederá por parte del Ministerio de Agricultura y Desarrollo Rural al diseño, formulación y puesta en marcha de los programas de sustitución y reconversión en donde se determine que exista agricultura de alto impacto. La aplicación de los programas de sustitución y reconversión estará sujeta a la gradualidad que sea necesaria en cada uno de los casos particulares, respondiendo así a las necesidades de cada uno de los predios, esto en virtud del artículo 6°, parágrafo 7°, y artículo 10° de la ley 1930 de 2018.</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Para aquellos predios que se encuentran dentro de la línea de páramo así como del parque natural regional páramo de Santurbán, en virtud del artículo 7° de la ley 1955 de 2019, Plan Nacional de Desarrollo Pacto por Colombia, Pacto por la Equidad, las corporaciones autónomas regionales, en coordinación con otras </w:t>
            </w:r>
            <w:r w:rsidRPr="00D9389D">
              <w:rPr>
                <w:rFonts w:ascii="Verdana" w:hAnsi="Verdana" w:eastAsia="Times New Roman" w:cs="Calibri"/>
                <w:color w:val="000000"/>
                <w:sz w:val="16"/>
                <w:szCs w:val="16"/>
                <w:lang w:eastAsia="es-CO"/>
              </w:rPr>
              <w:t>entidades públicas en el marco de sus funciones, celebrarán acuerdos con la población campesina que habite, ocupe o realice usos tradicionales asociados a la economía campesina (Resolución 464 de 2017 Ministerio de Agricultura y Desarrollo Rural) para generar alternativas de usos compatibles con los objetivos de conservación del área protegida y las condiciones de vida de la población, garantizando sus derechos fundamentales. Lo anterior será realizado en los términos y condiciones establecidas en la norma anteriormente citada.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Con la información que sea recolectada en la ejecución de la hoja de ruta mencionada, la CDMB implementará su plan de manejo del área protegida, con el fin de realizar los acuerdos con la población campesina.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En consideración a los acuerdos logrados en el proceso de mediación, se podrá continuar realizando actividades agropecuarias en los términos y condiciones establecidas en el artículo 10 de la ley 1930 de 2018.</w:t>
            </w:r>
          </w:p>
        </w:tc>
        <w:tc>
          <w:tcPr>
            <w:tcW w:w="2636" w:type="dxa"/>
            <w:tcMar/>
            <w:vAlign w:val="center"/>
            <w:hideMark/>
          </w:tcPr>
          <w:p w:rsidRPr="00D9389D" w:rsidR="00D9389D" w:rsidP="00D9389D" w:rsidRDefault="00D9389D" w14:paraId="03373EDC"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la metodología. Las autoridades ambientales serán las responsables de aplicar la metodología adoptada en el artículo primero de la presente resolución. Para ello, contarán con el apoyo de las entidades de los sectores de Ambiente y de Agricultura, de los gestores de proyectos o convenios desarrollados en páramos delimitados o en proceso de delimitación participativa, y de los entes territoriales, respetando su autonomía territorial.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Ley 1930 de 2018.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ARTÍCULO 10. De las actividades agropecuarias y mineras. Los Ministerios de Agricultura y Desarrollo Rural, Minas y Energía y sus entidades adscritas o vinculadas y las entidades territoriales, en coordinación con las Corporaciones Autónomas Regionales, y bajo las directrices del Ministerio de Ambiente y Desarrollo Sostenible, concurrirán para diseñar, capacitar y poner en marcha programas de sustitución y reconversión de las actividades agropecuarias de alto impacto y pequeños mineros tradicionales que se venían desarrollando con anterioridad al 16 de junio de 2011 previa definición y que se encuentren al interior del área de páramo delimitada, con el fin de garantizar la conservación de los páramos y el suministro de servicios ecosistémicos</w:t>
            </w:r>
          </w:p>
        </w:tc>
      </w:tr>
      <w:tr w:rsidRPr="00D9389D" w:rsidR="00D9389D" w:rsidTr="3D8C40D4" w14:paraId="0A226A1D" w14:textId="77777777">
        <w:trPr>
          <w:trHeight w:val="7176"/>
        </w:trPr>
        <w:tc>
          <w:tcPr>
            <w:tcW w:w="704" w:type="dxa"/>
            <w:noWrap/>
            <w:tcMar/>
            <w:vAlign w:val="center"/>
            <w:hideMark/>
          </w:tcPr>
          <w:p w:rsidRPr="00D9389D" w:rsidR="00D9389D" w:rsidP="00D9389D" w:rsidRDefault="00D9389D" w14:paraId="537FE4A0"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w:t>
            </w:r>
          </w:p>
        </w:tc>
        <w:tc>
          <w:tcPr>
            <w:tcW w:w="1276" w:type="dxa"/>
            <w:noWrap/>
            <w:tcMar/>
            <w:vAlign w:val="center"/>
            <w:hideMark/>
          </w:tcPr>
          <w:p w:rsidRPr="00D9389D" w:rsidR="00D9389D" w:rsidP="00D9389D" w:rsidRDefault="00D9389D" w14:paraId="6C72A869"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California (S)</w:t>
            </w:r>
          </w:p>
        </w:tc>
        <w:tc>
          <w:tcPr>
            <w:tcW w:w="1120" w:type="dxa"/>
            <w:tcMar/>
            <w:vAlign w:val="center"/>
            <w:hideMark/>
          </w:tcPr>
          <w:p w:rsidRPr="00D9389D" w:rsidR="00D9389D" w:rsidP="00D9389D" w:rsidRDefault="00D9389D" w14:paraId="05B3BFA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Colegio Integrado San Antonio de California</w:t>
            </w:r>
          </w:p>
        </w:tc>
        <w:tc>
          <w:tcPr>
            <w:tcW w:w="1431" w:type="dxa"/>
            <w:tcMar/>
            <w:vAlign w:val="center"/>
            <w:hideMark/>
          </w:tcPr>
          <w:p w:rsidRPr="00D9389D" w:rsidR="00D9389D" w:rsidP="00D9389D" w:rsidRDefault="00D9389D" w14:paraId="5BCB4426"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23 y 24 de marzo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21, 22 y 23 de junio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24 y 25 de agosto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16 de junio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del 2023</w:t>
            </w:r>
          </w:p>
        </w:tc>
        <w:tc>
          <w:tcPr>
            <w:tcW w:w="5540" w:type="dxa"/>
            <w:tcMar/>
            <w:vAlign w:val="center"/>
            <w:hideMark/>
          </w:tcPr>
          <w:p w:rsidRPr="00D9389D" w:rsidR="00D9389D" w:rsidP="00D9389D" w:rsidRDefault="00D9389D" w14:paraId="20025CA5"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Realizar la caracterización de predios afectados por la delimitación para determinar el alto o bajo impacto con una metodología clara y evaluable, con criterios objetivos.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Brindar capacitación y asistencia técnica para los productores agropecuarios para transitar a mejores prácticas productivas para lo que se requiere: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Estudio socioeconómico que considere todas las formas de tenencia (propietarios, poseedores, tenedores) y dinámicas de USO.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Apoyo a la producción apícola para la diversificación productiva y apoyo a la restauración ecológica.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Viabilidad del proyecto de distrito de riego.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Apoyo al ecoturismo responsable, articulando el Plan Sectorial de Turismo existente en el municipio.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Dinamizar la Comisión Permanente de Diversificación con representantes de los diferentes actores políticos, técnicos y sociales, focalizado en las veredas Santa Úrsula, Angostura y La Baja.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Precisar a la comunidad el rol de la CDMB y el Acueducto Metropolitano de Bucaramanga para la gestión integral del páramo en lo que tiene que ver con la compra, manejo y mantenimiento de predios.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5. Realizar el control del retamo que es una especie invasora muy agresiva que ya está en algunos sectores del territorio</w:t>
            </w:r>
          </w:p>
        </w:tc>
        <w:tc>
          <w:tcPr>
            <w:tcW w:w="2636" w:type="dxa"/>
            <w:tcMar/>
            <w:vAlign w:val="center"/>
            <w:hideMark/>
          </w:tcPr>
          <w:p w:rsidRPr="00D9389D" w:rsidR="00D9389D" w:rsidP="00D9389D" w:rsidRDefault="00D9389D" w14:paraId="15A8DC9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Resolución 160 de 2026 Artículo 4°. Responsables de La aplicación de la metodología. Las autoridades ambientales serán las responsables de aplicar la metodología adoptada en el artículo primero de la presente resolución. Para ello, contarán con el apoyo de las entidades de los sectores de Ambiente y de Agricultura, de los gestores de proyectos o convenios desarrollados en páramos delimitados o en proceso de delimitación participativa, y de los entes territoriales, respetando su autonomía territorial.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para orientar el diseño de los programas planes y proyectos de reconversión productiva en páramos: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Lineamientos: 10, 11, 21, 22, 23, 24, 25 y 26</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Resolución 684 de 2018.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Por la cual se establecen lineamientos tanto para la prevención y manejo integral de las especies de Retamo Espinoso (Ulex </w:t>
            </w:r>
            <w:proofErr w:type="spellStart"/>
            <w:r w:rsidRPr="00D9389D">
              <w:rPr>
                <w:rFonts w:ascii="Verdana" w:hAnsi="Verdana" w:eastAsia="Times New Roman" w:cs="Calibri"/>
                <w:color w:val="000000"/>
                <w:sz w:val="16"/>
                <w:szCs w:val="16"/>
                <w:lang w:eastAsia="es-CO"/>
              </w:rPr>
              <w:t>europaeus</w:t>
            </w:r>
            <w:proofErr w:type="spellEnd"/>
            <w:r w:rsidRPr="00D9389D">
              <w:rPr>
                <w:rFonts w:ascii="Verdana" w:hAnsi="Verdana" w:eastAsia="Times New Roman" w:cs="Calibri"/>
                <w:color w:val="000000"/>
                <w:sz w:val="16"/>
                <w:szCs w:val="16"/>
                <w:lang w:eastAsia="es-CO"/>
              </w:rPr>
              <w:t xml:space="preserve"> L.) y Retamo Liso (Genista </w:t>
            </w:r>
            <w:proofErr w:type="spellStart"/>
            <w:r w:rsidRPr="00D9389D">
              <w:rPr>
                <w:rFonts w:ascii="Verdana" w:hAnsi="Verdana" w:eastAsia="Times New Roman" w:cs="Calibri"/>
                <w:color w:val="000000"/>
                <w:sz w:val="16"/>
                <w:szCs w:val="16"/>
                <w:lang w:eastAsia="es-CO"/>
              </w:rPr>
              <w:t>monspessulana</w:t>
            </w:r>
            <w:proofErr w:type="spellEnd"/>
            <w:r w:rsidRPr="00D9389D">
              <w:rPr>
                <w:rFonts w:ascii="Verdana" w:hAnsi="Verdana" w:eastAsia="Times New Roman" w:cs="Calibri"/>
                <w:color w:val="000000"/>
                <w:sz w:val="16"/>
                <w:szCs w:val="16"/>
                <w:lang w:eastAsia="es-CO"/>
              </w:rPr>
              <w:t xml:space="preserve"> (L.) L.A.S. Johnson) como para la restauración ecológica, rehabilitación y recuperación de las áreas afectadas por estas especies en el territorio nacional y se adoptan otras determinaciones"</w:t>
            </w:r>
          </w:p>
        </w:tc>
      </w:tr>
      <w:tr w:rsidRPr="00D9389D" w:rsidR="00D9389D" w:rsidTr="3D8C40D4" w14:paraId="126ACC6F" w14:textId="77777777">
        <w:trPr>
          <w:trHeight w:val="8192"/>
        </w:trPr>
        <w:tc>
          <w:tcPr>
            <w:tcW w:w="704" w:type="dxa"/>
            <w:noWrap/>
            <w:tcMar/>
            <w:vAlign w:val="center"/>
            <w:hideMark/>
          </w:tcPr>
          <w:p w:rsidRPr="00D9389D" w:rsidR="00D9389D" w:rsidP="00D9389D" w:rsidRDefault="00D9389D" w14:paraId="654DA04B"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3</w:t>
            </w:r>
          </w:p>
        </w:tc>
        <w:tc>
          <w:tcPr>
            <w:tcW w:w="1276" w:type="dxa"/>
            <w:noWrap/>
            <w:tcMar/>
            <w:vAlign w:val="center"/>
            <w:hideMark/>
          </w:tcPr>
          <w:p w:rsidRPr="00D9389D" w:rsidR="00D9389D" w:rsidP="00D9389D" w:rsidRDefault="00D9389D" w14:paraId="6E0B3B34"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Matanza (S)</w:t>
            </w:r>
          </w:p>
        </w:tc>
        <w:tc>
          <w:tcPr>
            <w:tcW w:w="1120" w:type="dxa"/>
            <w:tcMar/>
            <w:vAlign w:val="center"/>
            <w:hideMark/>
          </w:tcPr>
          <w:p w:rsidRPr="00D9389D" w:rsidR="00D9389D" w:rsidP="00D9389D" w:rsidRDefault="00D9389D" w14:paraId="3FEB318D"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Centro de Bienestar para el Adulto Mayor</w:t>
            </w:r>
          </w:p>
        </w:tc>
        <w:tc>
          <w:tcPr>
            <w:tcW w:w="1431" w:type="dxa"/>
            <w:tcMar/>
            <w:vAlign w:val="center"/>
            <w:hideMark/>
          </w:tcPr>
          <w:p w:rsidRPr="00D9389D" w:rsidR="00D9389D" w:rsidP="00D9389D" w:rsidRDefault="00D9389D" w14:paraId="3CD8CB36"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24.06.2022</w:t>
            </w:r>
          </w:p>
        </w:tc>
        <w:tc>
          <w:tcPr>
            <w:tcW w:w="5540" w:type="dxa"/>
            <w:tcMar/>
            <w:vAlign w:val="center"/>
            <w:hideMark/>
          </w:tcPr>
          <w:p w:rsidRPr="00D9389D" w:rsidR="00D9389D" w:rsidP="00D9389D" w:rsidRDefault="00D9389D" w14:paraId="63F89A0D"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El Ministerio de Agricultura y Desarrollo Rural y la administración municipal se comprometen a que por parte del municipio se delegará un vocero de la misma y un delegado de los productores con el fin de que ambos sean el canal de comunicación con el Ministerio de Agricultura y Desarrollo Rural.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Con tal fin, el Ministerio de Agricultura y Desarrollo Rural enviará el formulario de caracterización de los predios a los delegados, a más tardar el 25 de junio de 2022, formularios los cuales deberán ser diligenciados y devueltos al Ministerio de Agricultura y Desarrollo Rural a más tardar en fecha 31 de agosto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Un mes tras ser recibida la información debidamente diligenciada, el Ministerio de Agricultura y Desarrollo Rural devolverá al municipio una caracterización preliminar de la producción agropecuaria que será tenida en cuenta en el diseño y puesta en marcha de los programas de reconversión y sustitución para el mismo. En la implementación de los programas de sustitución y reconversión se dará aplicación a la gradualidad que sea necesaria en cada uno de los casos particulares, respondiendo así a las necesidades de cada uno de los predios, y se contará con el servicio de extensión agropecuaria.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El proceso de levantamiento de la información para la caracterización preliminar de las actividades de producción agropecuaria se realizará en coordinación entre la administración municipal, a través de su oficina de planeación, y la CDMB en el municipio de Matanza, de acuerdo a las facultades y competencias de cada una de las entidades, con el fin de facilitar dicha caracterización por parte del Ministerio de Agricultura y Desarrollo Rural.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El delegado por parte de la administración municipal 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Jefe de la oficina asesora de planeación municipal, Sr. Efraín Andrés Ríos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Calderón o quien haga sus veces.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Tel. 3183936540</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Dir. Carrera 5 No. 5 - 85, Alcaldía.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Mail.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planeación@matanza-santander.gov.co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alcalde@matanza-santander.gov.co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El delegado por parte de los productores 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Sr. Huberth Leal Aparicio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Tel. 3118083982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Dir. Calle 8 No. 5 - 32, Barrio Las Mercedes, Matanza, Santander.</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Mail. caoficina06@gmail.com</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 En consideración a los acuerdos logrados en el proceso de mediación y al entendimiento y aceptación de los lineamientos del artículo 4° de la resolución 1294 de 2021 por parte de la comunidad, se podrá continuar realizando actividades agropecuarias en los términos y condiciones establecidas en los incisos 3° y 4° del artículo 10 de la ley 1930 de 2018, lo anterior </w:t>
            </w:r>
            <w:proofErr w:type="spellStart"/>
            <w:r w:rsidRPr="00D9389D">
              <w:rPr>
                <w:rFonts w:ascii="Verdana" w:hAnsi="Verdana" w:eastAsia="Times New Roman" w:cs="Calibri"/>
                <w:color w:val="000000"/>
                <w:sz w:val="16"/>
                <w:szCs w:val="16"/>
                <w:lang w:eastAsia="es-CO"/>
              </w:rPr>
              <w:t>d e</w:t>
            </w:r>
            <w:proofErr w:type="spellEnd"/>
            <w:r w:rsidRPr="00D9389D">
              <w:rPr>
                <w:rFonts w:ascii="Verdana" w:hAnsi="Verdana" w:eastAsia="Times New Roman" w:cs="Calibri"/>
                <w:color w:val="000000"/>
                <w:sz w:val="16"/>
                <w:szCs w:val="16"/>
                <w:lang w:eastAsia="es-CO"/>
              </w:rPr>
              <w:t xml:space="preserve"> acuerdo a la sentencia C - 300 de2021.</w:t>
            </w:r>
          </w:p>
        </w:tc>
        <w:tc>
          <w:tcPr>
            <w:tcW w:w="2636" w:type="dxa"/>
            <w:tcMar/>
            <w:vAlign w:val="center"/>
            <w:hideMark/>
          </w:tcPr>
          <w:p w:rsidRPr="00D9389D" w:rsidR="00D9389D" w:rsidP="00D9389D" w:rsidRDefault="00D9389D" w14:paraId="533AD0D8"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Resolución 160 de 2026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Artículo 4°. Responsables de La aplicación de la metodología. Las autoridades ambientales serán las responsables de aplicar la metodología adoptada en el artículo primero de la presente resolución. Para ello, contarán con el apoyo de las entidades de los sectores de Ambiente y de Agricultura, de los gestores de proyectos o convenios desarrollados en páramos delimitados o en proceso de delimitación participativa, y de los entes territoriales, respetando su autonomía territorial.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Ley 1930 de 2018.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ARTÍCULO 10. De las actividades agropecuarias y mineras. Los Ministerios de Agricultura y Desarrollo Rural, Minas y Energía y sus entidades adscritas o vinculadas y las entidades territoriales, en coordinación con las Corporaciones Autónomas Regionales, y bajo las directrices del Ministerio de Ambiente y Desarrollo Sostenible, concurrirán para diseñar, capacitar y poner en marcha programas de sustitución y reconversión de las actividades agropecuarias de alto impacto y pequeños mineros tradicionales que se venían desarrollando con anterioridad al 16 de junio de 2011 previa definición y que se encuentren al interior del área de páramo delimitada, con el fin de garantizar la conservación de los páramos y el suministro de servicios ecosistémicos.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El día 24 de junio de 2022 se remitió desde el MADR al CDMB el documento FORMULARIO DE CARACTERIZACION ACTIVIDAD AGROPECUARIA_PARAMOS.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para orientar el diseño de los programas planes y proyectos de reconversión productiva en páramos: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Lineamientos 8, 9, 11 y 15.</w:t>
            </w:r>
          </w:p>
        </w:tc>
      </w:tr>
      <w:tr w:rsidRPr="00D9389D" w:rsidR="00D9389D" w:rsidTr="3D8C40D4" w14:paraId="3F6123A8" w14:textId="77777777">
        <w:trPr>
          <w:trHeight w:val="8192"/>
        </w:trPr>
        <w:tc>
          <w:tcPr>
            <w:tcW w:w="704" w:type="dxa"/>
            <w:noWrap/>
            <w:tcMar/>
            <w:vAlign w:val="center"/>
            <w:hideMark/>
          </w:tcPr>
          <w:p w:rsidRPr="00D9389D" w:rsidR="00D9389D" w:rsidP="00D9389D" w:rsidRDefault="00D9389D" w14:paraId="26316943"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4</w:t>
            </w:r>
          </w:p>
        </w:tc>
        <w:tc>
          <w:tcPr>
            <w:tcW w:w="1276" w:type="dxa"/>
            <w:noWrap/>
            <w:tcMar/>
            <w:vAlign w:val="center"/>
            <w:hideMark/>
          </w:tcPr>
          <w:p w:rsidRPr="00D9389D" w:rsidR="00D9389D" w:rsidP="00D9389D" w:rsidRDefault="00D9389D" w14:paraId="509FE5E3"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El Playón (S)</w:t>
            </w:r>
          </w:p>
        </w:tc>
        <w:tc>
          <w:tcPr>
            <w:tcW w:w="1120" w:type="dxa"/>
            <w:tcMar/>
            <w:vAlign w:val="center"/>
            <w:hideMark/>
          </w:tcPr>
          <w:p w:rsidRPr="00D9389D" w:rsidR="00D9389D" w:rsidP="00D9389D" w:rsidRDefault="00D9389D" w14:paraId="2143184C" w14:textId="77777777">
            <w:pPr>
              <w:spacing w:after="0" w:line="240" w:lineRule="auto"/>
              <w:jc w:val="center"/>
              <w:rPr>
                <w:rFonts w:ascii="Verdana" w:hAnsi="Verdana" w:eastAsia="Times New Roman" w:cs="Calibri"/>
                <w:color w:val="000000"/>
                <w:sz w:val="16"/>
                <w:szCs w:val="16"/>
                <w:lang w:eastAsia="es-CO"/>
              </w:rPr>
            </w:pPr>
            <w:proofErr w:type="spellStart"/>
            <w:r w:rsidRPr="00D9389D">
              <w:rPr>
                <w:rFonts w:ascii="Verdana" w:hAnsi="Verdana" w:eastAsia="Times New Roman" w:cs="Calibri"/>
                <w:color w:val="000000"/>
                <w:sz w:val="16"/>
                <w:szCs w:val="16"/>
                <w:lang w:eastAsia="es-CO"/>
              </w:rPr>
              <w:t>Salon</w:t>
            </w:r>
            <w:proofErr w:type="spellEnd"/>
            <w:r w:rsidRPr="00D9389D">
              <w:rPr>
                <w:rFonts w:ascii="Verdana" w:hAnsi="Verdana" w:eastAsia="Times New Roman" w:cs="Calibri"/>
                <w:color w:val="000000"/>
                <w:sz w:val="16"/>
                <w:szCs w:val="16"/>
                <w:lang w:eastAsia="es-CO"/>
              </w:rPr>
              <w:t xml:space="preserve"> comunal vereda el Pino</w:t>
            </w:r>
          </w:p>
        </w:tc>
        <w:tc>
          <w:tcPr>
            <w:tcW w:w="1431" w:type="dxa"/>
            <w:tcMar/>
            <w:vAlign w:val="center"/>
            <w:hideMark/>
          </w:tcPr>
          <w:p w:rsidRPr="00D9389D" w:rsidR="00D9389D" w:rsidP="00D9389D" w:rsidRDefault="00D9389D" w14:paraId="2607E57E"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3--9-2022</w:t>
            </w:r>
          </w:p>
        </w:tc>
        <w:tc>
          <w:tcPr>
            <w:tcW w:w="5540" w:type="dxa"/>
            <w:tcMar/>
            <w:vAlign w:val="center"/>
            <w:hideMark/>
          </w:tcPr>
          <w:p w:rsidRPr="00D9389D" w:rsidR="00D9389D" w:rsidP="00D9389D" w:rsidRDefault="00D9389D" w14:paraId="17FBCA00"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1. La administración municipal se compromete a delegar un vocero de </w:t>
            </w:r>
            <w:proofErr w:type="gramStart"/>
            <w:r w:rsidRPr="00D9389D">
              <w:rPr>
                <w:rFonts w:ascii="Verdana" w:hAnsi="Verdana" w:eastAsia="Times New Roman" w:cs="Calibri"/>
                <w:color w:val="000000"/>
                <w:sz w:val="16"/>
                <w:szCs w:val="16"/>
                <w:lang w:eastAsia="es-CO"/>
              </w:rPr>
              <w:t>la misma</w:t>
            </w:r>
            <w:proofErr w:type="gramEnd"/>
            <w:r w:rsidRPr="00D9389D">
              <w:rPr>
                <w:rFonts w:ascii="Verdana" w:hAnsi="Verdana" w:eastAsia="Times New Roman" w:cs="Calibri"/>
                <w:color w:val="000000"/>
                <w:sz w:val="16"/>
                <w:szCs w:val="16"/>
                <w:lang w:eastAsia="es-CO"/>
              </w:rPr>
              <w:t xml:space="preserve"> con el fin de ser el canal de comunicación con el Ministerio de Agricultura y Desarrollo Rural. Dicha delegación estará en cabeza de la UMATA.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 su vez el Ministerio de Agricultura y Desarrollo Rural enviará el formulario de caracterización de los predios al delegado, a más tardar el 15 de septiembre de 2022, formularios los cuales deberán ser diligenciados y devueltos al Ministerio de Agricultura y Desarrollo Rural a más tardar en fecha 31 de octubre de 2022. La CDMB se compromete a prestar el acompañamiento a la UMATA en el marco del proceso de caracterización de predios. Los propietarios asistentes agradecen, aceptan, autorizan y se comprometen a permitir la visita a sus predios y otorgar la información necesaria para la caracterización respectiva.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Todos los propietarios cuyo predio tenga incidencia en páramo, podrán acogerse a este proceso de caracterización de predios si así lo desean.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Una vez recibida la información por el Ministerio de Agricultura y Desarrollo Rural, este devolverá, en el término de un mes al municipio, una caracterización preliminar de la producción agropecuaria que será tenida en cuenta en el diseño y puesta en marcha de los programas de reconversión y sustitución para el mismo. La UMATA, propietarios y comunidad interesada, acuerdan que una vez recibida la información se realizará un taller presencial en el cual se retroalimentará la información analizada y presentada por el Ministerio de Agricultura y Desarrollo Rural.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En la implementación de los programas de sustitución y reconversión se dará aplicación a la gradualidad que sea necesaria en cada uno de los casos particulares, respondiendo así a las necesidades de cada uno de los predios, y se contará con el servicio de extensión </w:t>
            </w:r>
            <w:r w:rsidRPr="00D9389D">
              <w:rPr>
                <w:rFonts w:ascii="Verdana" w:hAnsi="Verdana" w:eastAsia="Times New Roman" w:cs="Calibri"/>
                <w:color w:val="000000"/>
                <w:sz w:val="16"/>
                <w:szCs w:val="16"/>
                <w:lang w:eastAsia="es-CO"/>
              </w:rPr>
              <w:t>agropecuaria.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 En consideración a los acuerdos logrados en el proceso de mediación y al entendimiento y aceptación de los lineamientos del artículo 4o de la resolución 1294 de 2021 por parte de la comunidad, se podrá continuar realizando actividades agropecuarias en los términos y condiciones establecidas en los incisos 3° y 4° del artículo 10 de la ley 1930 de 2018, lo anterior </w:t>
            </w:r>
            <w:proofErr w:type="gramStart"/>
            <w:r w:rsidRPr="00D9389D">
              <w:rPr>
                <w:rFonts w:ascii="Verdana" w:hAnsi="Verdana" w:eastAsia="Times New Roman" w:cs="Calibri"/>
                <w:color w:val="000000"/>
                <w:sz w:val="16"/>
                <w:szCs w:val="16"/>
                <w:lang w:eastAsia="es-CO"/>
              </w:rPr>
              <w:t>de acuerdo a</w:t>
            </w:r>
            <w:proofErr w:type="gramEnd"/>
            <w:r w:rsidRPr="00D9389D">
              <w:rPr>
                <w:rFonts w:ascii="Verdana" w:hAnsi="Verdana" w:eastAsia="Times New Roman" w:cs="Calibri"/>
                <w:color w:val="000000"/>
                <w:sz w:val="16"/>
                <w:szCs w:val="16"/>
                <w:lang w:eastAsia="es-CO"/>
              </w:rPr>
              <w:t xml:space="preserve"> la sentencia T - 361 de 2017.</w:t>
            </w:r>
          </w:p>
        </w:tc>
        <w:tc>
          <w:tcPr>
            <w:tcW w:w="2636" w:type="dxa"/>
            <w:tcMar/>
            <w:vAlign w:val="center"/>
            <w:hideMark/>
          </w:tcPr>
          <w:p w:rsidRPr="00D9389D" w:rsidR="00D9389D" w:rsidP="00D9389D" w:rsidRDefault="00D9389D" w14:paraId="31811075"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para orientar el diseño de los programas planes y proyectos de reconversión productiva en páramos: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Lineamientos 6, 7, 9, 9D, 9E, 11 y 15.</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Con relación a la caracterización de los predios, el día 24 de junio de 2022 se remitió desde el MADR al CDMB el documento FORMULARIO DE CARACTERIZACION ACTIVIDAD AGROPECUARIA_PARAMOS.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Ley 1930 de 2018.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ARTÍCULO 10. De las actividades agropecuarias y mineras. Los Ministerios de Agricultura y Desarrollo Rural, Minas y Energía y sus entidades adscritas o vinculadas y las entidades territoriales, en coordinación con las Corporaciones Autónomas Regionales, y bajo las directrices del Ministerio de Ambiente y Desarrollo Sostenible, concurrirán para diseñar, capacitar y poner en marcha programas de sustitución y reconversión de las actividades agropecuarias de alto impacto y pequeños mineros tradicionales que se venían desarrollando con anterioridad al 16 de junio de 2011 previa definición y que se encuentren al interior del área de páramo delimitada, con el fin de garantizar la conservación de los páramos y el suministro de servicios ecosistémicos</w:t>
            </w:r>
          </w:p>
        </w:tc>
      </w:tr>
      <w:tr w:rsidRPr="00D9389D" w:rsidR="00D9389D" w:rsidTr="3D8C40D4" w14:paraId="577211B2" w14:textId="77777777">
        <w:trPr>
          <w:trHeight w:val="8192"/>
        </w:trPr>
        <w:tc>
          <w:tcPr>
            <w:tcW w:w="704" w:type="dxa"/>
            <w:noWrap/>
            <w:tcMar/>
            <w:vAlign w:val="center"/>
            <w:hideMark/>
          </w:tcPr>
          <w:p w:rsidRPr="00D9389D" w:rsidR="00D9389D" w:rsidP="00D9389D" w:rsidRDefault="00D9389D" w14:paraId="0CA1C4FE"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5</w:t>
            </w:r>
          </w:p>
        </w:tc>
        <w:tc>
          <w:tcPr>
            <w:tcW w:w="1276" w:type="dxa"/>
            <w:tcMar/>
            <w:vAlign w:val="center"/>
            <w:hideMark/>
          </w:tcPr>
          <w:p w:rsidRPr="00D9389D" w:rsidR="00D9389D" w:rsidP="00D9389D" w:rsidRDefault="00D9389D" w14:paraId="350EF966"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Charta (S)</w:t>
            </w:r>
          </w:p>
        </w:tc>
        <w:tc>
          <w:tcPr>
            <w:tcW w:w="1120" w:type="dxa"/>
            <w:tcMar/>
            <w:vAlign w:val="center"/>
            <w:hideMark/>
          </w:tcPr>
          <w:p w:rsidRPr="00D9389D" w:rsidR="00D9389D" w:rsidP="00D9389D" w:rsidRDefault="00D9389D" w14:paraId="1A828F94"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Coliseo Municipal Hermes Villamizar Villabona</w:t>
            </w:r>
          </w:p>
        </w:tc>
        <w:tc>
          <w:tcPr>
            <w:tcW w:w="1431" w:type="dxa"/>
            <w:tcMar/>
            <w:vAlign w:val="center"/>
            <w:hideMark/>
          </w:tcPr>
          <w:p w:rsidRPr="00D9389D" w:rsidR="00D9389D" w:rsidP="00D9389D" w:rsidRDefault="00D9389D" w14:paraId="1DCAEC39"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2, y 3 - 03 - 2023</w:t>
            </w:r>
          </w:p>
        </w:tc>
        <w:tc>
          <w:tcPr>
            <w:tcW w:w="5540" w:type="dxa"/>
            <w:tcMar/>
            <w:vAlign w:val="center"/>
            <w:hideMark/>
          </w:tcPr>
          <w:p w:rsidRPr="00D9389D" w:rsidR="00D9389D" w:rsidP="00D9389D" w:rsidRDefault="00D9389D" w14:paraId="0CD4F6D0"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Es prioritario definir qué es el bajo y el alto impacto para diseñar los programas de reconversión y sustitución con la caracterización de las actividades agropecuarias que se desarrollan en el municipio de Charta.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Que las instituciones a nivel departamental y nacional aporten los recursos indispensables para los procesos de formalización de la tierra, actualización catastral y caracterización predio a predio.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Construcción progresiva y gradual de los programas de reconversión productiva de manera participativa y concertada con los propietarios.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Que se promueva el fortalecimiento y creación de organizaciones comunitarias para el desarrollo de proyectos con los habitantes tradicionales de páramo para que sean ejecutoras de los recursos para los programas, dejando claridad que no los represente ninguna organización externa al municipio.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5. Es necesario asegurar que las empresas de agroquímicos hagan la recolección de los envases y residuos considerados desechos peligrosos en el páramo, asociado a campañas de educación y capacitación para el uso y manejo de estos residuos desde la corresponsabilidad de las instituciones ambientales, de agricultura y desarrollo rural y la academia con el compromiso de las comunidades.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6. Que los estudios técnicos realizados por las instituciones del orden nacional y departamental cuenten con un nivel detallado de cada predio para el diseño de los programas de acuerdo con las realidades de los suelos, las actividades agropecuarias y el paisaje, garantizando las actividades de pan coger.</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7. Presentar y socializar las experiencias exitosas de reconversión y sustitución en otros ecosistemas de páramo del país con el fin de fortalecer los procesos de diseño y puesta en </w:t>
            </w:r>
            <w:r w:rsidRPr="00D9389D">
              <w:rPr>
                <w:rFonts w:ascii="Verdana" w:hAnsi="Verdana" w:eastAsia="Times New Roman" w:cs="Calibri"/>
                <w:color w:val="000000"/>
                <w:sz w:val="16"/>
                <w:szCs w:val="16"/>
                <w:lang w:eastAsia="es-CO"/>
              </w:rPr>
              <w:t>marcha de los programas de reconversión y sustitución en las áreas de páramo del municipio.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8. Que los municipios beneficiarios exclusivamente de servicios ecosistémicos se comprometan con el tratamiento de aguas residuales haciéndose responsables de la protección a partir del uso, tratamiento y vertimiento de las aguas.</w:t>
            </w:r>
          </w:p>
        </w:tc>
        <w:tc>
          <w:tcPr>
            <w:tcW w:w="2636" w:type="dxa"/>
            <w:tcMar/>
            <w:vAlign w:val="center"/>
            <w:hideMark/>
          </w:tcPr>
          <w:p w:rsidRPr="00D9389D" w:rsidR="00D9389D" w:rsidP="00D9389D" w:rsidRDefault="00D9389D" w14:paraId="610D5490"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Aplica la Resolución 160 de 2026 con relación a la identificación del bajo impacto. Articulo 6 - </w:t>
            </w:r>
            <w:proofErr w:type="spellStart"/>
            <w:r w:rsidRPr="00D9389D">
              <w:rPr>
                <w:rFonts w:ascii="Verdana" w:hAnsi="Verdana" w:eastAsia="Times New Roman" w:cs="Calibri"/>
                <w:color w:val="000000"/>
                <w:sz w:val="16"/>
                <w:szCs w:val="16"/>
                <w:lang w:eastAsia="es-CO"/>
              </w:rPr>
              <w:t>Resolucion</w:t>
            </w:r>
            <w:proofErr w:type="spellEnd"/>
            <w:r w:rsidRPr="00D9389D">
              <w:rPr>
                <w:rFonts w:ascii="Verdana" w:hAnsi="Verdana" w:eastAsia="Times New Roman" w:cs="Calibri"/>
                <w:color w:val="000000"/>
                <w:sz w:val="16"/>
                <w:szCs w:val="16"/>
                <w:lang w:eastAsia="es-CO"/>
              </w:rPr>
              <w:t xml:space="preserve"> 160 de 2026</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Parágrafo 1°. La información técnica obtenida mediante la aplicación de la MBIP tendrá carácter orientador y deberá ser utilizada como insumo para la identificación, focalización y priorización de planes, programas y proyectos, además de las estrategias relacionadas con la actividad productiva agropecuaria en páramos.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En cuanto a los temas de saneamiento predial aplica el </w:t>
            </w:r>
            <w:proofErr w:type="spellStart"/>
            <w:r w:rsidRPr="00D9389D">
              <w:rPr>
                <w:rFonts w:ascii="Verdana" w:hAnsi="Verdana" w:eastAsia="Times New Roman" w:cs="Calibri"/>
                <w:color w:val="000000"/>
                <w:sz w:val="16"/>
                <w:szCs w:val="16"/>
                <w:lang w:eastAsia="es-CO"/>
              </w:rPr>
              <w:t>articulo</w:t>
            </w:r>
            <w:proofErr w:type="spellEnd"/>
            <w:r w:rsidRPr="00D9389D">
              <w:rPr>
                <w:rFonts w:ascii="Verdana" w:hAnsi="Verdana" w:eastAsia="Times New Roman" w:cs="Calibri"/>
                <w:color w:val="000000"/>
                <w:sz w:val="16"/>
                <w:szCs w:val="16"/>
                <w:lang w:eastAsia="es-CO"/>
              </w:rPr>
              <w:t xml:space="preserve"> 8 de la ley 1930 de 2018 “ARTÍCULO 8. Saneamiento predial. El Instituto Geográfico Agustín Codazzi (IGAC), la Agencia Nacional de Tierras (ANT), la Superintendencia de Notariado y Registro (SNR), Parques Nacionales Naturales de Colombia y demás autoridades competentes, deberán realizar un proceso de saneamiento predial en los páramos, para lo cual contarán con un término máximo de cinco (5) años, contados a partir de la entrada en vigencia de la presente ley.”</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En cuanto a la construcción progresiva aplica Lineamientos 6, 7 y 9 de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Para el fortalecimiento de organizaciones y presentación de experiencias exitosas de reconversión aplica los lineamientos 6 y 16 de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En cuanto al aseguramiento de recolección de envases de agroquímicos aplica resolución 1294 de 2021 articulo 4 lineamiento b.6</w:t>
            </w:r>
          </w:p>
        </w:tc>
      </w:tr>
      <w:tr w:rsidRPr="00D9389D" w:rsidR="00D9389D" w:rsidTr="3D8C40D4" w14:paraId="734A743B" w14:textId="77777777">
        <w:trPr>
          <w:trHeight w:val="8192"/>
        </w:trPr>
        <w:tc>
          <w:tcPr>
            <w:tcW w:w="704" w:type="dxa"/>
            <w:noWrap/>
            <w:tcMar/>
            <w:vAlign w:val="center"/>
            <w:hideMark/>
          </w:tcPr>
          <w:p w:rsidRPr="00D9389D" w:rsidR="00D9389D" w:rsidP="00D9389D" w:rsidRDefault="00D9389D" w14:paraId="4E1DBD65"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6</w:t>
            </w:r>
          </w:p>
        </w:tc>
        <w:tc>
          <w:tcPr>
            <w:tcW w:w="1276" w:type="dxa"/>
            <w:noWrap/>
            <w:tcMar/>
            <w:vAlign w:val="center"/>
            <w:hideMark/>
          </w:tcPr>
          <w:p w:rsidRPr="00D9389D" w:rsidR="00D9389D" w:rsidP="00D9389D" w:rsidRDefault="00D9389D" w14:paraId="65F79C76"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Piedecuesta (S)</w:t>
            </w:r>
          </w:p>
        </w:tc>
        <w:tc>
          <w:tcPr>
            <w:tcW w:w="1120" w:type="dxa"/>
            <w:tcMar/>
            <w:vAlign w:val="center"/>
            <w:hideMark/>
          </w:tcPr>
          <w:p w:rsidRPr="00D9389D" w:rsidR="00D9389D" w:rsidP="00D9389D" w:rsidRDefault="00D9389D" w14:paraId="673A53B9"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Centro Experimental el </w:t>
            </w:r>
            <w:proofErr w:type="spellStart"/>
            <w:r w:rsidRPr="00D9389D">
              <w:rPr>
                <w:rFonts w:ascii="Verdana" w:hAnsi="Verdana" w:eastAsia="Times New Roman" w:cs="Calibri"/>
                <w:color w:val="000000"/>
                <w:sz w:val="16"/>
                <w:szCs w:val="16"/>
                <w:lang w:eastAsia="es-CO"/>
              </w:rPr>
              <w:t>Rasgon</w:t>
            </w:r>
            <w:proofErr w:type="spellEnd"/>
            <w:r w:rsidRPr="00D9389D">
              <w:rPr>
                <w:rFonts w:ascii="Verdana" w:hAnsi="Verdana" w:eastAsia="Times New Roman" w:cs="Calibri"/>
                <w:color w:val="000000"/>
                <w:sz w:val="16"/>
                <w:szCs w:val="16"/>
                <w:lang w:eastAsia="es-CO"/>
              </w:rPr>
              <w:t xml:space="preserve"> de la CDMB</w:t>
            </w:r>
          </w:p>
        </w:tc>
        <w:tc>
          <w:tcPr>
            <w:tcW w:w="1431" w:type="dxa"/>
            <w:tcMar/>
            <w:vAlign w:val="center"/>
            <w:hideMark/>
          </w:tcPr>
          <w:p w:rsidRPr="00D9389D" w:rsidR="00D9389D" w:rsidP="00D9389D" w:rsidRDefault="00D9389D" w14:paraId="43AADFE3"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8, 9 y 10 - 03 - 2023</w:t>
            </w:r>
          </w:p>
        </w:tc>
        <w:tc>
          <w:tcPr>
            <w:tcW w:w="5540" w:type="dxa"/>
            <w:tcMar/>
            <w:vAlign w:val="center"/>
            <w:hideMark/>
          </w:tcPr>
          <w:p w:rsidRPr="00D9389D" w:rsidR="00D9389D" w:rsidP="00D9389D" w:rsidRDefault="00D9389D" w14:paraId="0D5BCEBA"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Que los campesinos sean reconocidos y valorados a nivel nacional e internacional como actores claves para la seguridad alimentaria del país, que son sujetos de derecho esenciales en la sociedad.</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Se requiere del diseño y puesta en marcha de estrategias de desarrollo rural integral que permitan mejorar la calidad y condiciones de vida de los habitantes rurales, para lo cual se requiere brindar recursos técnicos, financieros y de apoyo en los siguientes aspectos: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Aspectos sociales: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Para la reconversión de actividades agropecuarias las entidades de nivel nacional, departamental y municipal deben articular todas las funciones y competencias para aportar y promover de manera integral garantías de saneamiento básico, mejoramiento de vías, obras de infraestructura, educación, salud y recreación, que permitan una mejor calidad de vida para el campesino, con la participación de la CDMB como entidad competente en el Parque Natural Regional El Rasgón.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Se hace necesario considerar en la reforma laboral que tramitará el gobierno nacional el aseguramiento y acceso a una pensión agraria para los campesinos adultos mayores y enfoque diferencial, ejemplo, la mujer rural cabeza de familia, así como el aseguramiento a riesgos laborales para los productores agropecuarios.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De conformidad con el artículo 17 de la ley 1930, el Estado deberá estimular la asociatividad y el cooperativismo de la producción agrícola, familiar y campesina, con programas de inversión y formación para la ejecución de programas y proyectos productivos, restauración, reconversión, negocios verdes, entre otros proyectos; con la debida asistencia técnica y remuneración necesaria.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Como comunidades campesinas se reconoce lo dispuesto en la ley 1930 de 2018, respecto a la prohibición de la minería en el páramo, razón </w:t>
            </w:r>
            <w:r w:rsidRPr="00D9389D">
              <w:rPr>
                <w:rFonts w:ascii="Verdana" w:hAnsi="Verdana" w:eastAsia="Times New Roman" w:cs="Calibri"/>
                <w:color w:val="000000"/>
                <w:sz w:val="16"/>
                <w:szCs w:val="16"/>
                <w:lang w:eastAsia="es-CO"/>
              </w:rPr>
              <w:t>por la cual se debe controlar a través del Sistema de Fiscalización con todos los actores sociales y gubernamentales para la vigilancia y monitoreo, asegurando la reconversión o reubicación laboral y oferta de trabajos alternos en actividades económicas agrícolas y productivas en el territorio acompañadas de formación técnica y profesional de los campesinos y campesinas.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Aspectos económicos y financieros: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Las comunidades requieren del apoyo del Estado para articular con el sector financiero, con el fin de obtener las condonaciones de deudas totales relacionadas con créditos agropecuarios, productivos y compra de predios, mediante un fondo rotativo comunitario.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Se debe garantizar el acceso a microcrédito y seguros de protección para el desarrollo de proyectos productivos sostenibles en el área de Páramo.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Aspectos tecnológicos: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Establecer programas de capacitación y formación para desarrollo agropecuario sostenible.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Dotación de tecnologías, acompañamiento técnico, apoyo a emprendimientos, comercialización y exportación de productos sostenibles del páramo y sus áreas de influencia, involucrando al SENA.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Facilitar y agilizar el trámite frente al acceso a las certificaciones de BPA-G del ICA y establecer sistemas de investigación e innovación agropecuaria en el territorio con el establecimiento de centros de investigación de páramo en las inmediaciones y sus áreas de influencia y/o protegidos, con participación de las comunidades.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Garantizar el acceso a maquinaria agrícola y agroindustrial, así como a tecnologías que faciliten el desarrollo productivo sostenible.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Aspectos ecológicos: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Reducción y no cobro de concesiones, como la </w:t>
            </w:r>
            <w:r w:rsidRPr="00D9389D">
              <w:rPr>
                <w:rFonts w:ascii="Verdana" w:hAnsi="Verdana" w:eastAsia="Times New Roman" w:cs="Calibri"/>
                <w:color w:val="000000"/>
                <w:sz w:val="16"/>
                <w:szCs w:val="16"/>
                <w:lang w:eastAsia="es-CO"/>
              </w:rPr>
              <w:t xml:space="preserve">tasa por uso del agua para el desarrollo de actividades productivas sostenibles que garanticen el acceso y uso del agua a las comunicades campesinas, </w:t>
            </w:r>
            <w:proofErr w:type="spellStart"/>
            <w:r w:rsidRPr="00D9389D">
              <w:rPr>
                <w:rFonts w:ascii="Verdana" w:hAnsi="Verdana" w:eastAsia="Times New Roman" w:cs="Calibri"/>
                <w:color w:val="000000"/>
                <w:sz w:val="16"/>
                <w:szCs w:val="16"/>
                <w:lang w:eastAsia="es-CO"/>
              </w:rPr>
              <w:t>asi</w:t>
            </w:r>
            <w:proofErr w:type="spellEnd"/>
            <w:r w:rsidRPr="00D9389D">
              <w:rPr>
                <w:rFonts w:ascii="Verdana" w:hAnsi="Verdana" w:eastAsia="Times New Roman" w:cs="Calibri"/>
                <w:color w:val="000000"/>
                <w:sz w:val="16"/>
                <w:szCs w:val="16"/>
                <w:lang w:eastAsia="es-CO"/>
              </w:rPr>
              <w:t xml:space="preserve"> como el trámite de exenciones tributarias en impuesto predial y reconocimiento financieros como quedo concertado en el ineludible 6.</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Los habitantes tradicionales de paramo de Santurbán y áreas de influencia e inmediaciones serán vinculados al cumplimiento del art 29 de la ley 1930 de 2018, respecto al seguimiento y monitoreo con ejecución inmediata a la biodiversidad, servicios ecosistémicos y la gestión integral del páramo.</w:t>
            </w:r>
          </w:p>
        </w:tc>
        <w:tc>
          <w:tcPr>
            <w:tcW w:w="2636" w:type="dxa"/>
            <w:tcMar/>
            <w:vAlign w:val="center"/>
            <w:hideMark/>
          </w:tcPr>
          <w:p w:rsidRPr="00D9389D" w:rsidR="00D9389D" w:rsidP="00D9389D" w:rsidRDefault="00D9389D" w14:paraId="16165F15"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Acto legislativo 01 de 2023, que reconoce al campesinado como sujeto de derechos.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En cuanto al artículo 17 de la ley 1930 de 2018 aplica los lineamientos 6 y 16 de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Las decisiones relacionadas con la reforma laboral no hacen parte de las competencia y funciones otorgadas por ley o el marco jurídico vigente al Ministerio de Ambiente y Desarrollo Sostenible.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Para la financiación de la puesta en marcha de los proyectos productivos aplica el lineamiento 18 de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En cuanto a los aspectos tecnológicos aplica el lineamiento 14 de la resolución 249 y en cuanto a la formación aplica los lineamientos 21 al 26. En cuanto a proyectos que permitan el acceso a maquinaria agroindustrial aplica los lineamientos 10 y 11. Adicionalmente aplica el lineamiento 17b de la resolución 0249 de 2022 que establece los entes territoriales prestadores del servicio y asociaciones de productores podrán convocar al ICA para que realice jornadas de </w:t>
            </w:r>
            <w:proofErr w:type="spellStart"/>
            <w:r w:rsidRPr="00D9389D">
              <w:rPr>
                <w:rFonts w:ascii="Verdana" w:hAnsi="Verdana" w:eastAsia="Times New Roman" w:cs="Calibri"/>
                <w:color w:val="000000"/>
                <w:sz w:val="16"/>
                <w:szCs w:val="16"/>
                <w:lang w:eastAsia="es-CO"/>
              </w:rPr>
              <w:t>edu-caomunicacion</w:t>
            </w:r>
            <w:proofErr w:type="spellEnd"/>
            <w:r w:rsidRPr="00D9389D">
              <w:rPr>
                <w:rFonts w:ascii="Verdana" w:hAnsi="Verdana" w:eastAsia="Times New Roman" w:cs="Calibri"/>
                <w:color w:val="000000"/>
                <w:sz w:val="16"/>
                <w:szCs w:val="16"/>
                <w:lang w:eastAsia="es-CO"/>
              </w:rPr>
              <w:t xml:space="preserve"> respecto al registro de predios, control de movilización, enfermedades de control oficial y buenas prácticas en el marco de las competencias del ICA.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Las decisiones exenciones no hacen parte de las competencia y funciones otorgadas por ley o el marco jurídico vigente al Ministerio de Ambiente y Desarrollo Sostenible.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En cuanto al cumplimiento del art 29 de la ley 1930 de 2018, referente a la vinculación del habitante tradicional de páramo podrá desarrollarse a través de la instancia de coordinación</w:t>
            </w:r>
          </w:p>
        </w:tc>
      </w:tr>
      <w:tr w:rsidRPr="00D9389D" w:rsidR="00D9389D" w:rsidTr="3D8C40D4" w14:paraId="0F200A29" w14:textId="77777777">
        <w:trPr>
          <w:trHeight w:val="4140"/>
        </w:trPr>
        <w:tc>
          <w:tcPr>
            <w:tcW w:w="704" w:type="dxa"/>
            <w:noWrap/>
            <w:tcMar/>
            <w:vAlign w:val="center"/>
            <w:hideMark/>
          </w:tcPr>
          <w:p w:rsidRPr="00D9389D" w:rsidR="00D9389D" w:rsidP="00D9389D" w:rsidRDefault="00D9389D" w14:paraId="0A59DFD7"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7</w:t>
            </w:r>
          </w:p>
        </w:tc>
        <w:tc>
          <w:tcPr>
            <w:tcW w:w="1276" w:type="dxa"/>
            <w:noWrap/>
            <w:tcMar/>
            <w:vAlign w:val="center"/>
            <w:hideMark/>
          </w:tcPr>
          <w:p w:rsidRPr="00D9389D" w:rsidR="00D9389D" w:rsidP="00D9389D" w:rsidRDefault="00D9389D" w14:paraId="34ECFDDE" w14:textId="77777777">
            <w:pPr>
              <w:spacing w:after="0" w:line="240" w:lineRule="auto"/>
              <w:rPr>
                <w:rFonts w:ascii="Verdana" w:hAnsi="Verdana" w:eastAsia="Times New Roman" w:cs="Calibri"/>
                <w:b/>
                <w:bCs/>
                <w:color w:val="000000"/>
                <w:sz w:val="16"/>
                <w:szCs w:val="16"/>
                <w:lang w:eastAsia="es-CO"/>
              </w:rPr>
            </w:pPr>
            <w:proofErr w:type="spellStart"/>
            <w:r w:rsidRPr="00D9389D">
              <w:rPr>
                <w:rFonts w:ascii="Verdana" w:hAnsi="Verdana" w:eastAsia="Times New Roman" w:cs="Calibri"/>
                <w:b/>
                <w:bCs/>
                <w:color w:val="000000"/>
                <w:sz w:val="16"/>
                <w:szCs w:val="16"/>
                <w:lang w:eastAsia="es-CO"/>
              </w:rPr>
              <w:t>Bucarasica</w:t>
            </w:r>
            <w:proofErr w:type="spellEnd"/>
            <w:r w:rsidRPr="00D9389D">
              <w:rPr>
                <w:rFonts w:ascii="Verdana" w:hAnsi="Verdana" w:eastAsia="Times New Roman" w:cs="Calibri"/>
                <w:b/>
                <w:bCs/>
                <w:color w:val="000000"/>
                <w:sz w:val="16"/>
                <w:szCs w:val="16"/>
                <w:lang w:eastAsia="es-CO"/>
              </w:rPr>
              <w:t xml:space="preserve"> (NS)</w:t>
            </w:r>
          </w:p>
        </w:tc>
        <w:tc>
          <w:tcPr>
            <w:tcW w:w="1120" w:type="dxa"/>
            <w:noWrap/>
            <w:tcMar/>
            <w:vAlign w:val="center"/>
            <w:hideMark/>
          </w:tcPr>
          <w:p w:rsidRPr="00D9389D" w:rsidR="00D9389D" w:rsidP="00D9389D" w:rsidRDefault="00D9389D" w14:paraId="02D4016C"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Capilla del corregimiento de Agua Blanca</w:t>
            </w:r>
          </w:p>
        </w:tc>
        <w:tc>
          <w:tcPr>
            <w:tcW w:w="1431" w:type="dxa"/>
            <w:tcMar/>
            <w:vAlign w:val="center"/>
            <w:hideMark/>
          </w:tcPr>
          <w:p w:rsidRPr="00D9389D" w:rsidR="00D9389D" w:rsidP="00D9389D" w:rsidRDefault="00D9389D" w14:paraId="1A47428F"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10 y 11 - 05 - 2023</w:t>
            </w:r>
          </w:p>
        </w:tc>
        <w:tc>
          <w:tcPr>
            <w:tcW w:w="5540" w:type="dxa"/>
            <w:tcMar/>
            <w:vAlign w:val="center"/>
            <w:hideMark/>
          </w:tcPr>
          <w:p w:rsidRPr="00D9389D" w:rsidR="00D9389D" w:rsidP="00D9389D" w:rsidRDefault="00D9389D" w14:paraId="3AD135E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Agropecuario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1. Disminuir el uso de químicos y aumentar el uso de materia orgánica para abonar los cultivos.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Control en el uso de fungicidas y herbicidas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Compromiso de darle manejo adecuado a los residuos tóxicos y ordinarios.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Solicitud de asistencia técnica constante para la aplicación de buenas prácticas en las actividades productivas.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5. Diseño de programas por parte del sector agropecuario (MADR) para la reconversión que integre buenas prácticas por parte de las comunidades.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6. Mayor compromiso por parte de las entidades </w:t>
            </w:r>
            <w:proofErr w:type="spellStart"/>
            <w:r w:rsidRPr="00D9389D">
              <w:rPr>
                <w:rFonts w:ascii="Verdana" w:hAnsi="Verdana" w:eastAsia="Times New Roman" w:cs="Calibri"/>
                <w:color w:val="000000"/>
                <w:sz w:val="16"/>
                <w:szCs w:val="16"/>
                <w:lang w:eastAsia="es-CO"/>
              </w:rPr>
              <w:t>publicas</w:t>
            </w:r>
            <w:proofErr w:type="spellEnd"/>
            <w:r w:rsidRPr="00D9389D">
              <w:rPr>
                <w:rFonts w:ascii="Verdana" w:hAnsi="Verdana" w:eastAsia="Times New Roman" w:cs="Calibri"/>
                <w:color w:val="000000"/>
                <w:sz w:val="16"/>
                <w:szCs w:val="16"/>
                <w:lang w:eastAsia="es-CO"/>
              </w:rPr>
              <w:t xml:space="preserve"> y privadas para la disposición final de los residuos.</w:t>
            </w:r>
          </w:p>
        </w:tc>
        <w:tc>
          <w:tcPr>
            <w:tcW w:w="2636" w:type="dxa"/>
            <w:tcMar/>
            <w:vAlign w:val="center"/>
            <w:hideMark/>
          </w:tcPr>
          <w:p w:rsidRPr="00D9389D" w:rsidR="00D9389D" w:rsidP="00D9389D" w:rsidRDefault="00D9389D" w14:paraId="070CBFA0"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En cuanto al compromiso de entidades públicas aplica la resolución 1294 de 2021 articulo 4 lineamiento b.6.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Para el uso de químicos y control de fungicidas y herbicidas aplica el lineamiento la resolución 1294 de 2021 articulo 4 lineamiento b.4.</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Adicionalmente aplica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para orientar el diseño de los programas planes y proyectos de reconversión productiva en páramos: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Lineamientos: 1, 2, 3, 4, 5, 6, 7, 8 y 9.</w:t>
            </w:r>
          </w:p>
        </w:tc>
      </w:tr>
      <w:tr w:rsidRPr="00D9389D" w:rsidR="00D9389D" w:rsidTr="3D8C40D4" w14:paraId="2AB6427D" w14:textId="77777777">
        <w:trPr>
          <w:trHeight w:val="6348"/>
        </w:trPr>
        <w:tc>
          <w:tcPr>
            <w:tcW w:w="704" w:type="dxa"/>
            <w:noWrap/>
            <w:tcMar/>
            <w:vAlign w:val="center"/>
            <w:hideMark/>
          </w:tcPr>
          <w:p w:rsidRPr="00D9389D" w:rsidR="00D9389D" w:rsidP="00D9389D" w:rsidRDefault="00D9389D" w14:paraId="5B3280BD"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8</w:t>
            </w:r>
          </w:p>
        </w:tc>
        <w:tc>
          <w:tcPr>
            <w:tcW w:w="1276" w:type="dxa"/>
            <w:noWrap/>
            <w:tcMar/>
            <w:vAlign w:val="center"/>
            <w:hideMark/>
          </w:tcPr>
          <w:p w:rsidRPr="00D9389D" w:rsidR="00D9389D" w:rsidP="00D9389D" w:rsidRDefault="00D9389D" w14:paraId="3B81B531"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Lourdes (NS)</w:t>
            </w:r>
          </w:p>
        </w:tc>
        <w:tc>
          <w:tcPr>
            <w:tcW w:w="1120" w:type="dxa"/>
            <w:tcMar/>
            <w:vAlign w:val="center"/>
            <w:hideMark/>
          </w:tcPr>
          <w:p w:rsidRPr="00D9389D" w:rsidR="00D9389D" w:rsidP="00D9389D" w:rsidRDefault="00D9389D" w14:paraId="7A10ED2B"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Sector rural alto de Lourdes</w:t>
            </w:r>
          </w:p>
        </w:tc>
        <w:tc>
          <w:tcPr>
            <w:tcW w:w="1431" w:type="dxa"/>
            <w:tcMar/>
            <w:vAlign w:val="center"/>
            <w:hideMark/>
          </w:tcPr>
          <w:p w:rsidRPr="00D9389D" w:rsidR="00D9389D" w:rsidP="00D9389D" w:rsidRDefault="00D9389D" w14:paraId="766778B0"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27 junio y 23 julio 2024</w:t>
            </w:r>
          </w:p>
        </w:tc>
        <w:tc>
          <w:tcPr>
            <w:tcW w:w="5540" w:type="dxa"/>
            <w:tcMar/>
            <w:vAlign w:val="center"/>
            <w:hideMark/>
          </w:tcPr>
          <w:p w:rsidRPr="00D9389D" w:rsidR="00D9389D" w:rsidP="00D9389D" w:rsidRDefault="00D9389D" w14:paraId="7A8DF1B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Agropecuario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1.      En los casos en los que se deba realizar una sustitución de actividades agropecuarias, se podrán implementar estrategias que apoyen económicamente a las comunidades, como el pago por servicios ambientales - PSA. Así mismo, implementar proyectos de restauración ecológica en las áreas transformadas, pero estratégicas para la conservación.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Implementación de estrategias para la conservación de la fauna silvestre y las fuentes de agua durante el desarrollo de actividades agropecuarias, con el apoyo de autoridades ambientales.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Capacitaciones en buenas prácticas agrícolas y ganaderas (BPA y BPG), y el manejo y gestión de residuos agropecuarios con el apoyo del ICA, y demás entidades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Líneas de crédito e instrumentos para el financiamiento y la prestación de servicios financieros para el desarrollo de proyectos de reconversión productiva agropecuaria, de acuerdo con lo establecido en la resolución 249 de 2022.</w:t>
            </w:r>
          </w:p>
        </w:tc>
        <w:tc>
          <w:tcPr>
            <w:tcW w:w="2636" w:type="dxa"/>
            <w:tcMar/>
            <w:vAlign w:val="center"/>
            <w:hideMark/>
          </w:tcPr>
          <w:p w:rsidRPr="00D9389D" w:rsidR="00D9389D" w:rsidP="00D9389D" w:rsidRDefault="00D9389D" w14:paraId="327E19F3"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para sustitución: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27 al 35 en cuanto a la inclusión de PSA </w:t>
            </w:r>
            <w:proofErr w:type="spellStart"/>
            <w:r w:rsidRPr="00D9389D">
              <w:rPr>
                <w:rFonts w:ascii="Verdana" w:hAnsi="Verdana" w:eastAsia="Times New Roman" w:cs="Calibri"/>
                <w:color w:val="000000"/>
                <w:sz w:val="16"/>
                <w:szCs w:val="16"/>
                <w:lang w:eastAsia="es-CO"/>
              </w:rPr>
              <w:t>esta</w:t>
            </w:r>
            <w:proofErr w:type="spellEnd"/>
            <w:r w:rsidRPr="00D9389D">
              <w:rPr>
                <w:rFonts w:ascii="Verdana" w:hAnsi="Verdana" w:eastAsia="Times New Roman" w:cs="Calibri"/>
                <w:color w:val="000000"/>
                <w:sz w:val="16"/>
                <w:szCs w:val="16"/>
                <w:lang w:eastAsia="es-CO"/>
              </w:rPr>
              <w:t xml:space="preserve"> incluido en el lineamiento 18 literal b.</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Adicionalmente aplica resolución 1294 art 4 literal A.</w:t>
            </w:r>
          </w:p>
        </w:tc>
      </w:tr>
      <w:tr w:rsidRPr="00D9389D" w:rsidR="00D9389D" w:rsidTr="3D8C40D4" w14:paraId="7780607E" w14:textId="77777777">
        <w:trPr>
          <w:trHeight w:val="8192"/>
        </w:trPr>
        <w:tc>
          <w:tcPr>
            <w:tcW w:w="704" w:type="dxa"/>
            <w:noWrap/>
            <w:tcMar/>
            <w:vAlign w:val="center"/>
            <w:hideMark/>
          </w:tcPr>
          <w:p w:rsidRPr="00D9389D" w:rsidR="00D9389D" w:rsidP="00D9389D" w:rsidRDefault="00D9389D" w14:paraId="2D218CA1"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9</w:t>
            </w:r>
          </w:p>
        </w:tc>
        <w:tc>
          <w:tcPr>
            <w:tcW w:w="1276" w:type="dxa"/>
            <w:noWrap/>
            <w:tcMar/>
            <w:vAlign w:val="center"/>
            <w:hideMark/>
          </w:tcPr>
          <w:p w:rsidRPr="00D9389D" w:rsidR="00D9389D" w:rsidP="00D9389D" w:rsidRDefault="00D9389D" w14:paraId="7B1CC072"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Gramalote (NS)</w:t>
            </w:r>
          </w:p>
        </w:tc>
        <w:tc>
          <w:tcPr>
            <w:tcW w:w="1120" w:type="dxa"/>
            <w:tcMar/>
            <w:vAlign w:val="center"/>
            <w:hideMark/>
          </w:tcPr>
          <w:p w:rsidRPr="00D9389D" w:rsidR="00D9389D" w:rsidP="00D9389D" w:rsidRDefault="00D9389D" w14:paraId="190FCBF4"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Casa de la Cultura zona urbana</w:t>
            </w:r>
          </w:p>
        </w:tc>
        <w:tc>
          <w:tcPr>
            <w:tcW w:w="1431" w:type="dxa"/>
            <w:tcMar/>
            <w:vAlign w:val="center"/>
            <w:hideMark/>
          </w:tcPr>
          <w:p w:rsidRPr="00D9389D" w:rsidR="00D9389D" w:rsidP="00D9389D" w:rsidRDefault="00D9389D" w14:paraId="0E1010E8"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28 junio y 24 julio 2024</w:t>
            </w:r>
          </w:p>
        </w:tc>
        <w:tc>
          <w:tcPr>
            <w:tcW w:w="5540" w:type="dxa"/>
            <w:tcMar/>
            <w:vAlign w:val="center"/>
            <w:hideMark/>
          </w:tcPr>
          <w:p w:rsidRPr="00D9389D" w:rsidR="00D9389D" w:rsidP="00D9389D" w:rsidRDefault="00D9389D" w14:paraId="19654FC7"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     Financiación de líneas para proyectos de reconversión productiva agropecuaria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En los casos en los que se deba realizar una sustitución de actividades agropecuarias, se podrán implementar estrategias que apoyen económicamente a las comunidades, como el pago por servicios ambientales - PSA.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Implementación de estrategias para la conservación de la fauna silvestre y las fuentes de agua durante el desarrollo de actividades agropecuarias, con el apoyo de autoridades ambientales.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Capacitaciones en buenas prácticas agrícolas y ganaderas (BPA y BPG), y el manejo y gestión de residuos agropecuarios con el apoyo del ICA, y demás entidades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5.     Líneas de crédito e instrumentos para el financiamiento y la prestación de servicios financieros para el desarrollo de proyectos de reconversión productiva agropecuaria,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6.     Transferencia de tecnología e innovación agropecuaria para los agricultores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7.     Brindar una oferta institucional para los agricultores del páramo de acuerdo con lo establecido en la Ley 1930 del 2018 y a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8.              Programas estratégicos para las cadenas productivas agropecuarias en los páramos, de acuerdo con lo establecido en la Resolución 1294 de 2021 y la Resolución 249 de 2022.</w:t>
            </w:r>
          </w:p>
        </w:tc>
        <w:tc>
          <w:tcPr>
            <w:tcW w:w="2636" w:type="dxa"/>
            <w:tcMar/>
            <w:vAlign w:val="center"/>
            <w:hideMark/>
          </w:tcPr>
          <w:p w:rsidRPr="00D9389D" w:rsidR="00D9389D" w:rsidP="00D9389D" w:rsidRDefault="00D9389D" w14:paraId="5EB2414F"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para sustitución: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Lineamientos: 27 al 35 en cuanto a la inclusión de PSA </w:t>
            </w:r>
            <w:proofErr w:type="spellStart"/>
            <w:r w:rsidRPr="00D9389D">
              <w:rPr>
                <w:rFonts w:ascii="Verdana" w:hAnsi="Verdana" w:eastAsia="Times New Roman" w:cs="Calibri"/>
                <w:color w:val="000000"/>
                <w:sz w:val="16"/>
                <w:szCs w:val="16"/>
                <w:lang w:eastAsia="es-CO"/>
              </w:rPr>
              <w:t>esta</w:t>
            </w:r>
            <w:proofErr w:type="spellEnd"/>
            <w:r w:rsidRPr="00D9389D">
              <w:rPr>
                <w:rFonts w:ascii="Verdana" w:hAnsi="Verdana" w:eastAsia="Times New Roman" w:cs="Calibri"/>
                <w:color w:val="000000"/>
                <w:sz w:val="16"/>
                <w:szCs w:val="16"/>
                <w:lang w:eastAsia="es-CO"/>
              </w:rPr>
              <w:t xml:space="preserve"> incluido en el lineamiento 18 literal b.</w:t>
            </w:r>
          </w:p>
        </w:tc>
      </w:tr>
      <w:tr w:rsidRPr="00D9389D" w:rsidR="00D9389D" w:rsidTr="3D8C40D4" w14:paraId="1548482E" w14:textId="77777777">
        <w:trPr>
          <w:trHeight w:val="8192"/>
        </w:trPr>
        <w:tc>
          <w:tcPr>
            <w:tcW w:w="704" w:type="dxa"/>
            <w:noWrap/>
            <w:tcMar/>
            <w:vAlign w:val="center"/>
            <w:hideMark/>
          </w:tcPr>
          <w:p w:rsidRPr="00D9389D" w:rsidR="00D9389D" w:rsidP="00D9389D" w:rsidRDefault="00D9389D" w14:paraId="1302B817"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10</w:t>
            </w:r>
          </w:p>
        </w:tc>
        <w:tc>
          <w:tcPr>
            <w:tcW w:w="1276" w:type="dxa"/>
            <w:tcMar/>
            <w:vAlign w:val="center"/>
            <w:hideMark/>
          </w:tcPr>
          <w:p w:rsidRPr="00D9389D" w:rsidR="00D9389D" w:rsidP="00D9389D" w:rsidRDefault="00D9389D" w14:paraId="6A5CF6A3"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Suratá (S)</w:t>
            </w:r>
            <w:r w:rsidRPr="00D9389D">
              <w:rPr>
                <w:rFonts w:ascii="Verdana" w:hAnsi="Verdana" w:eastAsia="Times New Roman" w:cs="Calibri"/>
                <w:b/>
                <w:bCs/>
                <w:color w:val="000000"/>
                <w:sz w:val="16"/>
                <w:szCs w:val="16"/>
                <w:lang w:eastAsia="es-CO"/>
              </w:rPr>
              <w:br/>
            </w:r>
            <w:r w:rsidRPr="00D9389D">
              <w:rPr>
                <w:rFonts w:ascii="Verdana" w:hAnsi="Verdana" w:eastAsia="Times New Roman" w:cs="Calibri"/>
                <w:b/>
                <w:bCs/>
                <w:color w:val="000000"/>
                <w:sz w:val="16"/>
                <w:szCs w:val="16"/>
                <w:lang w:eastAsia="es-CO"/>
              </w:rPr>
              <w:t>(Cachiri)</w:t>
            </w:r>
          </w:p>
        </w:tc>
        <w:tc>
          <w:tcPr>
            <w:tcW w:w="1120" w:type="dxa"/>
            <w:tcMar/>
            <w:vAlign w:val="center"/>
            <w:hideMark/>
          </w:tcPr>
          <w:p w:rsidRPr="00D9389D" w:rsidR="00D9389D" w:rsidP="00D9389D" w:rsidRDefault="00D9389D" w14:paraId="0B6EB278"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Colegio Francisco San Juan de Turbay sede corregimiento Mohan, Coliseo Corregimiento </w:t>
            </w:r>
            <w:proofErr w:type="spellStart"/>
            <w:r w:rsidRPr="00D9389D">
              <w:rPr>
                <w:rFonts w:ascii="Verdana" w:hAnsi="Verdana" w:eastAsia="Times New Roman" w:cs="Calibri"/>
                <w:color w:val="000000"/>
                <w:sz w:val="16"/>
                <w:szCs w:val="16"/>
                <w:lang w:eastAsia="es-CO"/>
              </w:rPr>
              <w:t>Cachirí</w:t>
            </w:r>
            <w:proofErr w:type="spellEnd"/>
          </w:p>
        </w:tc>
        <w:tc>
          <w:tcPr>
            <w:tcW w:w="1431" w:type="dxa"/>
            <w:tcMar/>
            <w:vAlign w:val="center"/>
            <w:hideMark/>
          </w:tcPr>
          <w:p w:rsidRPr="00D9389D" w:rsidR="00D9389D" w:rsidP="00D9389D" w:rsidRDefault="00D9389D" w14:paraId="30C1649C"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12-14 de </w:t>
            </w:r>
            <w:proofErr w:type="gramStart"/>
            <w:r w:rsidRPr="00D9389D">
              <w:rPr>
                <w:rFonts w:ascii="Verdana" w:hAnsi="Verdana" w:eastAsia="Times New Roman" w:cs="Calibri"/>
                <w:color w:val="000000"/>
                <w:sz w:val="16"/>
                <w:szCs w:val="16"/>
                <w:lang w:eastAsia="es-CO"/>
              </w:rPr>
              <w:t>Abril</w:t>
            </w:r>
            <w:proofErr w:type="gramEnd"/>
            <w:r w:rsidRPr="00D9389D">
              <w:rPr>
                <w:rFonts w:ascii="Verdana" w:hAnsi="Verdana" w:eastAsia="Times New Roman" w:cs="Calibri"/>
                <w:color w:val="000000"/>
                <w:sz w:val="16"/>
                <w:szCs w:val="16"/>
                <w:lang w:eastAsia="es-CO"/>
              </w:rPr>
              <w:t xml:space="preserve"> 2023</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6-9 de </w:t>
            </w:r>
            <w:proofErr w:type="gramStart"/>
            <w:r w:rsidRPr="00D9389D">
              <w:rPr>
                <w:rFonts w:ascii="Verdana" w:hAnsi="Verdana" w:eastAsia="Times New Roman" w:cs="Calibri"/>
                <w:color w:val="000000"/>
                <w:sz w:val="16"/>
                <w:szCs w:val="16"/>
                <w:lang w:eastAsia="es-CO"/>
              </w:rPr>
              <w:t>Junio</w:t>
            </w:r>
            <w:proofErr w:type="gramEnd"/>
            <w:r w:rsidRPr="00D9389D">
              <w:rPr>
                <w:rFonts w:ascii="Verdana" w:hAnsi="Verdana" w:eastAsia="Times New Roman" w:cs="Calibri"/>
                <w:color w:val="000000"/>
                <w:sz w:val="16"/>
                <w:szCs w:val="16"/>
                <w:lang w:eastAsia="es-CO"/>
              </w:rPr>
              <w:t xml:space="preserve"> 2023</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18-19 de </w:t>
            </w:r>
            <w:proofErr w:type="gramStart"/>
            <w:r w:rsidRPr="00D9389D">
              <w:rPr>
                <w:rFonts w:ascii="Verdana" w:hAnsi="Verdana" w:eastAsia="Times New Roman" w:cs="Calibri"/>
                <w:color w:val="000000"/>
                <w:sz w:val="16"/>
                <w:szCs w:val="16"/>
                <w:lang w:eastAsia="es-CO"/>
              </w:rPr>
              <w:t>Noviembre</w:t>
            </w:r>
            <w:proofErr w:type="gramEnd"/>
            <w:r w:rsidRPr="00D9389D">
              <w:rPr>
                <w:rFonts w:ascii="Verdana" w:hAnsi="Verdana" w:eastAsia="Times New Roman" w:cs="Calibri"/>
                <w:color w:val="000000"/>
                <w:sz w:val="16"/>
                <w:szCs w:val="16"/>
                <w:lang w:eastAsia="es-CO"/>
              </w:rPr>
              <w:t xml:space="preserve"> 2023</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26-27 de </w:t>
            </w:r>
            <w:proofErr w:type="gramStart"/>
            <w:r w:rsidRPr="00D9389D">
              <w:rPr>
                <w:rFonts w:ascii="Verdana" w:hAnsi="Verdana" w:eastAsia="Times New Roman" w:cs="Calibri"/>
                <w:color w:val="000000"/>
                <w:sz w:val="16"/>
                <w:szCs w:val="16"/>
                <w:lang w:eastAsia="es-CO"/>
              </w:rPr>
              <w:t>Agosto</w:t>
            </w:r>
            <w:proofErr w:type="gramEnd"/>
            <w:r w:rsidRPr="00D9389D">
              <w:rPr>
                <w:rFonts w:ascii="Verdana" w:hAnsi="Verdana" w:eastAsia="Times New Roman" w:cs="Calibri"/>
                <w:color w:val="000000"/>
                <w:sz w:val="16"/>
                <w:szCs w:val="16"/>
                <w:lang w:eastAsia="es-CO"/>
              </w:rPr>
              <w:t xml:space="preserve"> 2023</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20-21 abril 2024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21-22 septiembre 2024</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23 noviembre 2024</w:t>
            </w:r>
          </w:p>
        </w:tc>
        <w:tc>
          <w:tcPr>
            <w:tcW w:w="5540" w:type="dxa"/>
            <w:tcMar/>
            <w:vAlign w:val="center"/>
            <w:hideMark/>
          </w:tcPr>
          <w:p w:rsidRPr="00D9389D" w:rsidR="00D9389D" w:rsidP="00D9389D" w:rsidRDefault="00D9389D" w14:paraId="063D854C"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Agropecuario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1. Para mejorar las formas de producción agropecuaria en las áreas de páramo del municipio, a fin de que esta actividad sea y se mantenga de bajo impacto, es necesario desarrollar varias actividades que se listan a continuación y que deben ser parte de los planes de reconversión y/o sustitución que se diseñen e implementen de la mano de las comunidades: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Formación dirigida a productores: capacitación en producción de </w:t>
            </w:r>
            <w:proofErr w:type="spellStart"/>
            <w:r w:rsidRPr="00D9389D">
              <w:rPr>
                <w:rFonts w:ascii="Verdana" w:hAnsi="Verdana" w:eastAsia="Times New Roman" w:cs="Calibri"/>
                <w:color w:val="000000"/>
                <w:sz w:val="16"/>
                <w:szCs w:val="16"/>
                <w:lang w:eastAsia="es-CO"/>
              </w:rPr>
              <w:t>bioinsumos</w:t>
            </w:r>
            <w:proofErr w:type="spellEnd"/>
            <w:r w:rsidRPr="00D9389D">
              <w:rPr>
                <w:rFonts w:ascii="Verdana" w:hAnsi="Verdana" w:eastAsia="Times New Roman" w:cs="Calibri"/>
                <w:color w:val="000000"/>
                <w:sz w:val="16"/>
                <w:szCs w:val="16"/>
                <w:lang w:eastAsia="es-CO"/>
              </w:rPr>
              <w:t xml:space="preserve"> y producción limpia; capacitación financiera para ingreso a mercados especializados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Facilitar el desarrollo y acceso a estudios que mejoren la planificación productiva, como es el estudio de suelos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Asistencia técnica agropecuaria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la asociatividad, microempresas y emprendimientos, para facilitar la producción, mercadeo y Comercialización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Impulsar el uso de equipos y maquinaria adecuada para no generar afectaciones ambientales negativas.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Implementar incentivos como los Pagos por Servicios Ambientales (PSA)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Fortalecer las compras públicas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Es importante que, de la mano de las entidades competentes, se apoye la consolidación de emprendimientos para lograr que el campo sea la forma de generar ingresos para el territorio, con lo cual se logra la paz y el sustento de próximas generaciones, aprovechando que este es un territorio libre de minas antipersonal.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Las prácticas agropecuarias de importancia para contribuir a la conservación del páramo se relacionan a continuación: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Reducir aplicación de agroquímicos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Usar </w:t>
            </w:r>
            <w:proofErr w:type="spellStart"/>
            <w:r w:rsidRPr="00D9389D">
              <w:rPr>
                <w:rFonts w:ascii="Verdana" w:hAnsi="Verdana" w:eastAsia="Times New Roman" w:cs="Calibri"/>
                <w:color w:val="000000"/>
                <w:sz w:val="16"/>
                <w:szCs w:val="16"/>
                <w:lang w:eastAsia="es-CO"/>
              </w:rPr>
              <w:t>bioabonos</w:t>
            </w:r>
            <w:proofErr w:type="spellEnd"/>
            <w:r w:rsidRPr="00D9389D">
              <w:rPr>
                <w:rFonts w:ascii="Verdana" w:hAnsi="Verdana" w:eastAsia="Times New Roman" w:cs="Calibri"/>
                <w:color w:val="000000"/>
                <w:sz w:val="16"/>
                <w:szCs w:val="16"/>
                <w:lang w:eastAsia="es-CO"/>
              </w:rPr>
              <w:t xml:space="preserve"> (lombrices)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Uso racional del agua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Cultivar con invernaderos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Realizar transformación de productos básicos agropecuarios para agregar valor (conservas, por ejemplo)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Proyectos silvopastoriles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4. </w:t>
            </w:r>
            <w:proofErr w:type="gramStart"/>
            <w:r w:rsidRPr="00D9389D">
              <w:rPr>
                <w:rFonts w:ascii="Verdana" w:hAnsi="Verdana" w:eastAsia="Times New Roman" w:cs="Calibri"/>
                <w:color w:val="000000"/>
                <w:sz w:val="16"/>
                <w:szCs w:val="16"/>
                <w:lang w:eastAsia="es-CO"/>
              </w:rPr>
              <w:t>Otras actividades económicas a considerarse</w:t>
            </w:r>
            <w:proofErr w:type="gramEnd"/>
            <w:r w:rsidRPr="00D9389D">
              <w:rPr>
                <w:rFonts w:ascii="Verdana" w:hAnsi="Verdana" w:eastAsia="Times New Roman" w:cs="Calibri"/>
                <w:color w:val="000000"/>
                <w:sz w:val="16"/>
                <w:szCs w:val="16"/>
                <w:lang w:eastAsia="es-CO"/>
              </w:rPr>
              <w:t xml:space="preserve"> en los planes de reconversión y sustitución agropecuaria son: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Apicultura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Agroturismo y ecoturismo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Acuaponía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Sellos verdes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Integración, fortalecimiento y articulación interinstitucional (SENA, </w:t>
            </w:r>
            <w:proofErr w:type="spellStart"/>
            <w:r w:rsidRPr="00D9389D">
              <w:rPr>
                <w:rFonts w:ascii="Verdana" w:hAnsi="Verdana" w:eastAsia="Times New Roman" w:cs="Calibri"/>
                <w:color w:val="000000"/>
                <w:sz w:val="16"/>
                <w:szCs w:val="16"/>
                <w:lang w:eastAsia="es-CO"/>
              </w:rPr>
              <w:t>Agrosavia</w:t>
            </w:r>
            <w:proofErr w:type="spellEnd"/>
            <w:r w:rsidRPr="00D9389D">
              <w:rPr>
                <w:rFonts w:ascii="Verdana" w:hAnsi="Verdana" w:eastAsia="Times New Roman" w:cs="Calibri"/>
                <w:color w:val="000000"/>
                <w:sz w:val="16"/>
                <w:szCs w:val="16"/>
                <w:lang w:eastAsia="es-CO"/>
              </w:rPr>
              <w:t>, entre otros)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Acueductos veredales para el buen uso del recurso hídrico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las organizaciones campesinas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Proveeduría comunitaria (insumos verdes)</w:t>
            </w:r>
          </w:p>
        </w:tc>
        <w:tc>
          <w:tcPr>
            <w:tcW w:w="2636" w:type="dxa"/>
            <w:tcMar/>
            <w:vAlign w:val="center"/>
            <w:hideMark/>
          </w:tcPr>
          <w:p w:rsidRPr="00D9389D" w:rsidR="00D9389D" w:rsidP="00D9389D" w:rsidRDefault="00D9389D" w14:paraId="012F792C"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Resolución 249 de 2022 Lineamientos para orientar el diseño de los programas planes y proyectos de reconversión productiva en páramos: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Lineamientos: 21 al 26(capacitación), 20, 18b</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Resolución 1294 de 2021 art 4 literal b numeral 2 para el incentivo de maquinaria adecuada y articulo 4 literal para prácticas de conservación del ecosistema.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Adicionalmente para el uso de </w:t>
            </w:r>
            <w:proofErr w:type="spellStart"/>
            <w:r w:rsidRPr="00D9389D">
              <w:rPr>
                <w:rFonts w:ascii="Verdana" w:hAnsi="Verdana" w:eastAsia="Times New Roman" w:cs="Calibri"/>
                <w:color w:val="000000"/>
                <w:sz w:val="16"/>
                <w:szCs w:val="16"/>
                <w:lang w:eastAsia="es-CO"/>
              </w:rPr>
              <w:t>bioinsumos</w:t>
            </w:r>
            <w:proofErr w:type="spellEnd"/>
            <w:r w:rsidRPr="00D9389D">
              <w:rPr>
                <w:rFonts w:ascii="Verdana" w:hAnsi="Verdana" w:eastAsia="Times New Roman" w:cs="Calibri"/>
                <w:color w:val="000000"/>
                <w:sz w:val="16"/>
                <w:szCs w:val="16"/>
                <w:lang w:eastAsia="es-CO"/>
              </w:rPr>
              <w:t xml:space="preserve"> aplica resolución 295 de 2025</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Adicionalmente sobre otras actividades económicas podrían considerarse en el marco del lineamiento 10 Resolución 249 de 2022</w:t>
            </w:r>
          </w:p>
        </w:tc>
      </w:tr>
      <w:tr w:rsidRPr="00D9389D" w:rsidR="00D9389D" w:rsidTr="3D8C40D4" w14:paraId="2263023E" w14:textId="77777777">
        <w:trPr>
          <w:trHeight w:val="8192"/>
        </w:trPr>
        <w:tc>
          <w:tcPr>
            <w:tcW w:w="704" w:type="dxa"/>
            <w:noWrap/>
            <w:tcMar/>
            <w:vAlign w:val="center"/>
            <w:hideMark/>
          </w:tcPr>
          <w:p w:rsidRPr="00D9389D" w:rsidR="00D9389D" w:rsidP="00D9389D" w:rsidRDefault="00D9389D" w14:paraId="1105D339"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11</w:t>
            </w:r>
          </w:p>
        </w:tc>
        <w:tc>
          <w:tcPr>
            <w:tcW w:w="1276" w:type="dxa"/>
            <w:tcMar/>
            <w:vAlign w:val="center"/>
            <w:hideMark/>
          </w:tcPr>
          <w:p w:rsidRPr="00D9389D" w:rsidR="00D9389D" w:rsidP="00D9389D" w:rsidRDefault="00D9389D" w14:paraId="2784EDC4"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Bochalema (NS)</w:t>
            </w:r>
          </w:p>
        </w:tc>
        <w:tc>
          <w:tcPr>
            <w:tcW w:w="1120" w:type="dxa"/>
            <w:tcMar/>
            <w:vAlign w:val="center"/>
            <w:hideMark/>
          </w:tcPr>
          <w:p w:rsidRPr="00D9389D" w:rsidR="00D9389D" w:rsidP="00D9389D" w:rsidRDefault="00D9389D" w14:paraId="31A22EF0"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Casa del Adulto Mayor</w:t>
            </w:r>
          </w:p>
        </w:tc>
        <w:tc>
          <w:tcPr>
            <w:tcW w:w="1431" w:type="dxa"/>
            <w:tcMar/>
            <w:vAlign w:val="center"/>
            <w:hideMark/>
          </w:tcPr>
          <w:p w:rsidRPr="00D9389D" w:rsidR="00D9389D" w:rsidP="00D9389D" w:rsidRDefault="00D9389D" w14:paraId="35EF8E42"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 24 y 25 de </w:t>
            </w:r>
            <w:proofErr w:type="gramStart"/>
            <w:r w:rsidRPr="00D9389D">
              <w:rPr>
                <w:rFonts w:ascii="Verdana" w:hAnsi="Verdana" w:eastAsia="Times New Roman" w:cs="Calibri"/>
                <w:color w:val="000000"/>
                <w:sz w:val="16"/>
                <w:szCs w:val="16"/>
                <w:lang w:eastAsia="es-CO"/>
              </w:rPr>
              <w:t>Abril</w:t>
            </w:r>
            <w:proofErr w:type="gramEnd"/>
            <w:r w:rsidRPr="00D9389D">
              <w:rPr>
                <w:rFonts w:ascii="Verdana" w:hAnsi="Verdana" w:eastAsia="Times New Roman" w:cs="Calibri"/>
                <w:color w:val="000000"/>
                <w:sz w:val="16"/>
                <w:szCs w:val="16"/>
                <w:lang w:eastAsia="es-CO"/>
              </w:rPr>
              <w:t xml:space="preserve"> 2025</w:t>
            </w:r>
          </w:p>
        </w:tc>
        <w:tc>
          <w:tcPr>
            <w:tcW w:w="5540" w:type="dxa"/>
            <w:tcMar/>
            <w:vAlign w:val="center"/>
            <w:hideMark/>
          </w:tcPr>
          <w:p w:rsidRPr="00D9389D" w:rsidR="00D9389D" w:rsidP="00D9389D" w:rsidRDefault="00D9389D" w14:paraId="42314CBC"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Este tema, se relaciona con los programas de reconversión y sustitución de actividades agropecuarias, integrando las visiones de las comunidades, organizaciones sociales y entidades públicas participantes del nivel local, regional y nacional.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Para mejorar las formas de producción agropecuaria en las áreas de páramo del municipio, a fin de que esta actividad sea y se mantenga de bajo impacto, se concertó lo siguiente, en el marco de los lineamientos contenidos en la Resolución 1294 de 2021 y la Resolución 249 de 2022: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1. Capacitaciones en buenas prácticas agrícolas y ganaderas (BPA y BPG), y manejo y gestión de residuos agropecuarios de acuerdo con lo establecido en la Resolución 249 de2022.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 Transferencia de tecnología e innovación enfocado al uso de </w:t>
            </w:r>
            <w:proofErr w:type="spellStart"/>
            <w:r w:rsidRPr="00D9389D">
              <w:rPr>
                <w:rFonts w:ascii="Verdana" w:hAnsi="Verdana" w:eastAsia="Times New Roman" w:cs="Calibri"/>
                <w:color w:val="000000"/>
                <w:sz w:val="16"/>
                <w:szCs w:val="16"/>
                <w:lang w:eastAsia="es-CO"/>
              </w:rPr>
              <w:t>bioinsumos</w:t>
            </w:r>
            <w:proofErr w:type="spellEnd"/>
            <w:r w:rsidRPr="00D9389D">
              <w:rPr>
                <w:rFonts w:ascii="Verdana" w:hAnsi="Verdana" w:eastAsia="Times New Roman" w:cs="Calibri"/>
                <w:color w:val="000000"/>
                <w:sz w:val="16"/>
                <w:szCs w:val="16"/>
                <w:lang w:eastAsia="es-CO"/>
              </w:rPr>
              <w:t xml:space="preserve"> y herramientas de tecnología de la comunicación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Extensión agropecuaria con asistencia técnica que aborde temas como aprovechamiento de residuos (Biodigestores y manejo de cultivos locales) de acuerdo con lo establecido en la Ley 1930 del 2018 y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Fortalecimiento de la asociatividad en términos de la ley 1930 del 2018, así como también una agricultura familiar, campesina y comunitaria.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5. Agregación de valor a los productos derivados de la actividad agropecuaria de bajo impacto en el área de páramo, así como el desarrollo de mercados locales con enfoque diferencial para la población paramuna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6. Como alternativa a la sustitución agropecuaria se planteó el desarrollo de un turismo sostenible en la zona.</w:t>
            </w:r>
          </w:p>
        </w:tc>
        <w:tc>
          <w:tcPr>
            <w:tcW w:w="2636" w:type="dxa"/>
            <w:tcMar/>
            <w:vAlign w:val="center"/>
            <w:hideMark/>
          </w:tcPr>
          <w:p w:rsidRPr="00D9389D" w:rsidR="00D9389D" w:rsidP="00D9389D" w:rsidRDefault="00D9389D" w14:paraId="7859A6DA"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 y 1294 de 2021.</w:t>
            </w:r>
          </w:p>
        </w:tc>
      </w:tr>
      <w:tr w:rsidRPr="00D9389D" w:rsidR="00D9389D" w:rsidTr="3D8C40D4" w14:paraId="545391DA" w14:textId="77777777">
        <w:trPr>
          <w:trHeight w:val="8192"/>
        </w:trPr>
        <w:tc>
          <w:tcPr>
            <w:tcW w:w="704" w:type="dxa"/>
            <w:noWrap/>
            <w:tcMar/>
            <w:vAlign w:val="center"/>
            <w:hideMark/>
          </w:tcPr>
          <w:p w:rsidRPr="00D9389D" w:rsidR="00D9389D" w:rsidP="00D9389D" w:rsidRDefault="00D9389D" w14:paraId="4B59C08A"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12</w:t>
            </w:r>
          </w:p>
        </w:tc>
        <w:tc>
          <w:tcPr>
            <w:tcW w:w="1276" w:type="dxa"/>
            <w:tcMar/>
            <w:vAlign w:val="center"/>
            <w:hideMark/>
          </w:tcPr>
          <w:p w:rsidRPr="00D9389D" w:rsidR="00D9389D" w:rsidP="00D9389D" w:rsidRDefault="00D9389D" w14:paraId="4D3C5AEE"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Chinácota (NS)</w:t>
            </w:r>
          </w:p>
        </w:tc>
        <w:tc>
          <w:tcPr>
            <w:tcW w:w="1120" w:type="dxa"/>
            <w:tcMar/>
            <w:vAlign w:val="center"/>
            <w:hideMark/>
          </w:tcPr>
          <w:p w:rsidRPr="00D9389D" w:rsidR="00D9389D" w:rsidP="00D9389D" w:rsidRDefault="00D9389D" w14:paraId="1F792C69"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Auditorio </w:t>
            </w:r>
            <w:proofErr w:type="spellStart"/>
            <w:r w:rsidRPr="00D9389D">
              <w:rPr>
                <w:rFonts w:ascii="Verdana" w:hAnsi="Verdana" w:eastAsia="Times New Roman" w:cs="Calibri"/>
                <w:color w:val="000000"/>
                <w:sz w:val="16"/>
                <w:szCs w:val="16"/>
                <w:lang w:eastAsia="es-CO"/>
              </w:rPr>
              <w:t>Comfaoriente</w:t>
            </w:r>
            <w:proofErr w:type="spellEnd"/>
            <w:r w:rsidRPr="00D9389D">
              <w:rPr>
                <w:rFonts w:ascii="Verdana" w:hAnsi="Verdana" w:eastAsia="Times New Roman" w:cs="Calibri"/>
                <w:color w:val="000000"/>
                <w:sz w:val="16"/>
                <w:szCs w:val="16"/>
                <w:lang w:eastAsia="es-CO"/>
              </w:rPr>
              <w:t xml:space="preserve"> Chinácota</w:t>
            </w:r>
          </w:p>
        </w:tc>
        <w:tc>
          <w:tcPr>
            <w:tcW w:w="1431" w:type="dxa"/>
            <w:tcMar/>
            <w:vAlign w:val="center"/>
            <w:hideMark/>
          </w:tcPr>
          <w:p w:rsidRPr="00D9389D" w:rsidR="00D9389D" w:rsidP="00D9389D" w:rsidRDefault="00D9389D" w14:paraId="06A98AB8"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 21 y 22 de </w:t>
            </w:r>
            <w:proofErr w:type="gramStart"/>
            <w:r w:rsidRPr="00D9389D">
              <w:rPr>
                <w:rFonts w:ascii="Verdana" w:hAnsi="Verdana" w:eastAsia="Times New Roman" w:cs="Calibri"/>
                <w:color w:val="000000"/>
                <w:sz w:val="16"/>
                <w:szCs w:val="16"/>
                <w:lang w:eastAsia="es-CO"/>
              </w:rPr>
              <w:t>Mayo</w:t>
            </w:r>
            <w:proofErr w:type="gramEnd"/>
            <w:r w:rsidRPr="00D9389D">
              <w:rPr>
                <w:rFonts w:ascii="Verdana" w:hAnsi="Verdana" w:eastAsia="Times New Roman" w:cs="Calibri"/>
                <w:color w:val="000000"/>
                <w:sz w:val="16"/>
                <w:szCs w:val="16"/>
                <w:lang w:eastAsia="es-CO"/>
              </w:rPr>
              <w:t xml:space="preserve"> 2025</w:t>
            </w:r>
          </w:p>
        </w:tc>
        <w:tc>
          <w:tcPr>
            <w:tcW w:w="5540" w:type="dxa"/>
            <w:tcMar/>
            <w:vAlign w:val="center"/>
            <w:hideMark/>
          </w:tcPr>
          <w:p w:rsidRPr="00D9389D" w:rsidR="00D9389D" w:rsidP="00D9389D" w:rsidRDefault="00D9389D" w14:paraId="313B6EC4"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Este tema, se relaciona con los programas de reconversión y sustitución de actividades agropecuarias, integrando las visiones de las comunidades, organizaciones sociales y entidades públicas participantes del nivel local, regional y nacional.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Para mejorar las formas de producción agropecuaria en las áreas de páramo del municipio, a fin de que esta actividad sea y se mantenga de bajo impacto, se concertó lo siguiente, en el marco de los lineamientos contenidos en la Resolución 1294 de 2021 y la Resolución 249 de 2022: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1. Capacitaciones en buenas prácticas agrícolas y ganaderas (BPA y BPG), y manejo y gestión de residuos agropecuarios de acuerdo con lo establecido en la Resolución 249 de2022.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 Transferencia de tecnología e innovación enfocado al uso de </w:t>
            </w:r>
            <w:proofErr w:type="spellStart"/>
            <w:r w:rsidRPr="00D9389D">
              <w:rPr>
                <w:rFonts w:ascii="Verdana" w:hAnsi="Verdana" w:eastAsia="Times New Roman" w:cs="Calibri"/>
                <w:color w:val="000000"/>
                <w:sz w:val="16"/>
                <w:szCs w:val="16"/>
                <w:lang w:eastAsia="es-CO"/>
              </w:rPr>
              <w:t>bioinsumos</w:t>
            </w:r>
            <w:proofErr w:type="spellEnd"/>
            <w:r w:rsidRPr="00D9389D">
              <w:rPr>
                <w:rFonts w:ascii="Verdana" w:hAnsi="Verdana" w:eastAsia="Times New Roman" w:cs="Calibri"/>
                <w:color w:val="000000"/>
                <w:sz w:val="16"/>
                <w:szCs w:val="16"/>
                <w:lang w:eastAsia="es-CO"/>
              </w:rPr>
              <w:t xml:space="preserve">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Extensión agropecuaria con asistencia técnica que aborde temas como aprovechamiento de residuos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4. Como alternativa a la sustitución agropecuaria y como actividad económica principal, se planteó el desarrollo de un turismo sostenible en el municipio de Chinácota.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5. Fortalecimiento de la Agricultura Campesina, Familiar, Étnica y Comunitaria (ACFEC).</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6. Fortalecer y promover la asociatividad agropecuaria en el municipio de Chinácota.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7. En los casos en los que se requiera sustituir actividades agropecuarias, implementar estrategias de apoyo económico a las comunidades, como el pago por servicios ambientales (PSA).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8. Implementación de la metodología para la determinación de las actividades agropecuarias de bajo impacto de acuerdo con lo establecido </w:t>
            </w:r>
            <w:r w:rsidRPr="00D9389D">
              <w:rPr>
                <w:rFonts w:ascii="Verdana" w:hAnsi="Verdana" w:eastAsia="Times New Roman" w:cs="Calibri"/>
                <w:color w:val="000000"/>
                <w:sz w:val="16"/>
                <w:szCs w:val="16"/>
                <w:lang w:eastAsia="es-CO"/>
              </w:rPr>
              <w:t>en la Resolución 1294 de 2021.</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9. Monitoreo y seguimiento para garantizar el desarrollo de actividades agropecuarias de bajo impacto y ambientalmente sostenibles por parte de las autoridades competentes en el ecosistema de páramo. </w:t>
            </w:r>
          </w:p>
        </w:tc>
        <w:tc>
          <w:tcPr>
            <w:tcW w:w="2636" w:type="dxa"/>
            <w:tcMar/>
            <w:vAlign w:val="center"/>
            <w:hideMark/>
          </w:tcPr>
          <w:p w:rsidRPr="00D9389D" w:rsidR="00D9389D" w:rsidP="00D9389D" w:rsidRDefault="00D9389D" w14:paraId="50151857"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 y 1294 de 2021. Adicionalmente en términos de monitoreo aplica articulo 3 parágrafo 3 y articulo 6 de la resolución 160 de 2026.</w:t>
            </w:r>
          </w:p>
        </w:tc>
      </w:tr>
      <w:tr w:rsidRPr="00D9389D" w:rsidR="00D9389D" w:rsidTr="3D8C40D4" w14:paraId="04EDA59B" w14:textId="77777777">
        <w:trPr>
          <w:trHeight w:val="8192"/>
        </w:trPr>
        <w:tc>
          <w:tcPr>
            <w:tcW w:w="704" w:type="dxa"/>
            <w:noWrap/>
            <w:tcMar/>
            <w:vAlign w:val="center"/>
            <w:hideMark/>
          </w:tcPr>
          <w:p w:rsidRPr="00D9389D" w:rsidR="00D9389D" w:rsidP="00D9389D" w:rsidRDefault="00D9389D" w14:paraId="250F46A4"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13</w:t>
            </w:r>
          </w:p>
        </w:tc>
        <w:tc>
          <w:tcPr>
            <w:tcW w:w="1276" w:type="dxa"/>
            <w:tcMar/>
            <w:vAlign w:val="center"/>
            <w:hideMark/>
          </w:tcPr>
          <w:p w:rsidRPr="00D9389D" w:rsidR="00D9389D" w:rsidP="00D9389D" w:rsidRDefault="00D9389D" w14:paraId="5615D160"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Los Patios (NS)</w:t>
            </w:r>
          </w:p>
        </w:tc>
        <w:tc>
          <w:tcPr>
            <w:tcW w:w="1120" w:type="dxa"/>
            <w:tcMar/>
            <w:vAlign w:val="center"/>
            <w:hideMark/>
          </w:tcPr>
          <w:p w:rsidRPr="00D9389D" w:rsidR="00D9389D" w:rsidP="00D9389D" w:rsidRDefault="00D9389D" w14:paraId="1E0E3AE0" w14:textId="77777777">
            <w:pPr>
              <w:spacing w:after="0" w:line="240" w:lineRule="auto"/>
              <w:jc w:val="center"/>
              <w:rPr>
                <w:rFonts w:ascii="Verdana" w:hAnsi="Verdana" w:eastAsia="Times New Roman" w:cs="Calibri"/>
                <w:color w:val="000000"/>
                <w:sz w:val="16"/>
                <w:szCs w:val="16"/>
                <w:lang w:eastAsia="es-CO"/>
              </w:rPr>
            </w:pPr>
            <w:proofErr w:type="spellStart"/>
            <w:r w:rsidRPr="00D9389D">
              <w:rPr>
                <w:rFonts w:ascii="Verdana" w:hAnsi="Verdana" w:eastAsia="Times New Roman" w:cs="Calibri"/>
                <w:color w:val="000000"/>
                <w:sz w:val="16"/>
                <w:szCs w:val="16"/>
                <w:lang w:eastAsia="es-CO"/>
              </w:rPr>
              <w:t>Salon</w:t>
            </w:r>
            <w:proofErr w:type="spellEnd"/>
            <w:r w:rsidRPr="00D9389D">
              <w:rPr>
                <w:rFonts w:ascii="Verdana" w:hAnsi="Verdana" w:eastAsia="Times New Roman" w:cs="Calibri"/>
                <w:color w:val="000000"/>
                <w:sz w:val="16"/>
                <w:szCs w:val="16"/>
                <w:lang w:eastAsia="es-CO"/>
              </w:rPr>
              <w:t xml:space="preserve"> blanco alcaldía de Los Patios</w:t>
            </w:r>
          </w:p>
        </w:tc>
        <w:tc>
          <w:tcPr>
            <w:tcW w:w="1431" w:type="dxa"/>
            <w:tcMar/>
            <w:vAlign w:val="center"/>
            <w:hideMark/>
          </w:tcPr>
          <w:p w:rsidRPr="00D9389D" w:rsidR="00D9389D" w:rsidP="00D9389D" w:rsidRDefault="00D9389D" w14:paraId="22F5658A"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25 de julio de 2025</w:t>
            </w:r>
          </w:p>
        </w:tc>
        <w:tc>
          <w:tcPr>
            <w:tcW w:w="5540" w:type="dxa"/>
            <w:tcMar/>
            <w:vAlign w:val="center"/>
            <w:hideMark/>
          </w:tcPr>
          <w:p w:rsidRPr="00D9389D" w:rsidR="00D9389D" w:rsidP="00D9389D" w:rsidRDefault="00D9389D" w14:paraId="3B452185"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Los Patios acordó que deben existir unos lineamientos para la reconversión y/o sustitución de actividades agropecuarias y mineras para garantizar la mayor protección del páramo reconociendo la necesidad de realizar acciones como: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Promover en el municipio de Los Patios la compra de productos que venden los campesinos mediante el fortalecimiento de mercados campesinos.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Mejorar las formas de producción agropecuaria en las áreas de páramo, disminuyendo la aplicación de agroquímicos y realizando prácticas de rotación de cultivos.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Realizar capacitaciones en buenas prácticas agrícolas y ganaderas (BPA y BPG), y manejo y gestión de residuos agropecuarios de acuerdo con lo establecido en la normatividad vigente.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Realizar extensión agropecuaria con asistencia técnica que aborde temas como aprovechamiento de residuos de acuerdo con lo establecido en normatividad vigente.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Se planteó el desarrollo de un turismo sostenible y regulado.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la Agricultura Campesina, Familiar, Étnica y Comunitaria (ACFEC), a través de procesos agroecológicos.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Incentivar los pagos por servicios ambientales realizados por las empresas prestadoras del servicio de acueducto.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Fortalecer y promover la asociatividad en términos agropecuarios. </w:t>
            </w:r>
          </w:p>
        </w:tc>
        <w:tc>
          <w:tcPr>
            <w:tcW w:w="2636" w:type="dxa"/>
            <w:tcMar/>
            <w:vAlign w:val="center"/>
            <w:hideMark/>
          </w:tcPr>
          <w:p w:rsidRPr="00D9389D" w:rsidR="00D9389D" w:rsidP="00D9389D" w:rsidRDefault="00D9389D" w14:paraId="6623C29B"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 Lineamiento 4, 20, 21, 22, 23, 24, 25 y 26 y 1294 de 2021. Art 4 literal b, numeral 1</w:t>
            </w:r>
          </w:p>
        </w:tc>
      </w:tr>
      <w:tr w:rsidRPr="00D9389D" w:rsidR="00D9389D" w:rsidTr="3D8C40D4" w14:paraId="7F74FD73" w14:textId="77777777">
        <w:trPr>
          <w:trHeight w:val="4140"/>
        </w:trPr>
        <w:tc>
          <w:tcPr>
            <w:tcW w:w="704" w:type="dxa"/>
            <w:noWrap/>
            <w:tcMar/>
            <w:vAlign w:val="center"/>
            <w:hideMark/>
          </w:tcPr>
          <w:p w:rsidRPr="00D9389D" w:rsidR="00D9389D" w:rsidP="00D9389D" w:rsidRDefault="00D9389D" w14:paraId="2BF6D100"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14</w:t>
            </w:r>
          </w:p>
        </w:tc>
        <w:tc>
          <w:tcPr>
            <w:tcW w:w="1276" w:type="dxa"/>
            <w:tcMar/>
            <w:vAlign w:val="center"/>
            <w:hideMark/>
          </w:tcPr>
          <w:p w:rsidRPr="00D9389D" w:rsidR="00D9389D" w:rsidP="00D9389D" w:rsidRDefault="00D9389D" w14:paraId="36BCAE7D"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Pamplonita (NS)</w:t>
            </w:r>
          </w:p>
        </w:tc>
        <w:tc>
          <w:tcPr>
            <w:tcW w:w="1120" w:type="dxa"/>
            <w:tcMar/>
            <w:vAlign w:val="center"/>
            <w:hideMark/>
          </w:tcPr>
          <w:p w:rsidRPr="00D9389D" w:rsidR="00D9389D" w:rsidP="00D9389D" w:rsidRDefault="00D9389D" w14:paraId="7F7EC1CE"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Casa de la cultura Pamplonita</w:t>
            </w:r>
          </w:p>
        </w:tc>
        <w:tc>
          <w:tcPr>
            <w:tcW w:w="1431" w:type="dxa"/>
            <w:tcMar/>
            <w:vAlign w:val="center"/>
            <w:hideMark/>
          </w:tcPr>
          <w:p w:rsidRPr="00D9389D" w:rsidR="00D9389D" w:rsidP="00D9389D" w:rsidRDefault="00D9389D" w14:paraId="3CDDF838"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26 de Julio 2025</w:t>
            </w:r>
          </w:p>
        </w:tc>
        <w:tc>
          <w:tcPr>
            <w:tcW w:w="5540" w:type="dxa"/>
            <w:tcMar/>
            <w:vAlign w:val="center"/>
            <w:hideMark/>
          </w:tcPr>
          <w:p w:rsidRPr="00D9389D" w:rsidR="00D9389D" w:rsidP="00D9389D" w:rsidRDefault="00D9389D" w14:paraId="2A8843E7"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Como resultado de la deliberación sobre el tema de diálogo No. 2, se acordó que: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1. Reconocer desde la ley y desde las sentencias que hay comunidades que tienen actividad agropecuaria y que quieren continuar con su actividad, es decir, todo lo que está trabajado sigue igual y lo que no está intervenido se respeta.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Fortalecer la oferta institucional por parte del Estado en las áreas que no están intervenidas con PSA (Pago por Servicios Ambientales), incentivos, programas y proyectos productivos, acompañamiento y asistencia en los procesos de BPA (Buenas Prácticas Agrícolas), bajo la normatividad vigente.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Fortalecer por parte del Estado el saneamiento predial en el municipio de Pamplonita.</w:t>
            </w:r>
          </w:p>
        </w:tc>
        <w:tc>
          <w:tcPr>
            <w:tcW w:w="2636" w:type="dxa"/>
            <w:tcMar/>
            <w:vAlign w:val="center"/>
            <w:hideMark/>
          </w:tcPr>
          <w:p w:rsidRPr="00D9389D" w:rsidR="00D9389D" w:rsidP="00D9389D" w:rsidRDefault="00D9389D" w14:paraId="48A1BA4D"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 y en cuanto a saneamiento predial aplica el artículo 8 de la ley 1930 de 2018</w:t>
            </w:r>
          </w:p>
        </w:tc>
      </w:tr>
      <w:tr w:rsidRPr="00D9389D" w:rsidR="00D9389D" w:rsidTr="3D8C40D4" w14:paraId="06A26DB4" w14:textId="77777777">
        <w:trPr>
          <w:trHeight w:val="5244"/>
        </w:trPr>
        <w:tc>
          <w:tcPr>
            <w:tcW w:w="704" w:type="dxa"/>
            <w:noWrap/>
            <w:tcMar/>
            <w:vAlign w:val="center"/>
            <w:hideMark/>
          </w:tcPr>
          <w:p w:rsidRPr="00D9389D" w:rsidR="00D9389D" w:rsidP="00D9389D" w:rsidRDefault="00D9389D" w14:paraId="462C310B"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15</w:t>
            </w:r>
          </w:p>
        </w:tc>
        <w:tc>
          <w:tcPr>
            <w:tcW w:w="1276" w:type="dxa"/>
            <w:tcMar/>
            <w:vAlign w:val="center"/>
            <w:hideMark/>
          </w:tcPr>
          <w:p w:rsidRPr="00D9389D" w:rsidR="00D9389D" w:rsidP="00D9389D" w:rsidRDefault="00D9389D" w14:paraId="28624E09"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La Esperanza (NS)</w:t>
            </w:r>
          </w:p>
        </w:tc>
        <w:tc>
          <w:tcPr>
            <w:tcW w:w="1120" w:type="dxa"/>
            <w:tcMar/>
            <w:vAlign w:val="center"/>
            <w:hideMark/>
          </w:tcPr>
          <w:p w:rsidRPr="00D9389D" w:rsidR="00D9389D" w:rsidP="00D9389D" w:rsidRDefault="00D9389D" w14:paraId="5E587D58"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Centro Educativo Rural Vereda Pata de Vaca </w:t>
            </w:r>
          </w:p>
        </w:tc>
        <w:tc>
          <w:tcPr>
            <w:tcW w:w="1431" w:type="dxa"/>
            <w:tcMar/>
            <w:vAlign w:val="center"/>
            <w:hideMark/>
          </w:tcPr>
          <w:p w:rsidRPr="00D9389D" w:rsidR="00D9389D" w:rsidP="00D9389D" w:rsidRDefault="00D9389D" w14:paraId="03CD7D27"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27 de agosto 2025</w:t>
            </w:r>
          </w:p>
        </w:tc>
        <w:tc>
          <w:tcPr>
            <w:tcW w:w="5540" w:type="dxa"/>
            <w:tcMar/>
            <w:vAlign w:val="center"/>
            <w:hideMark/>
          </w:tcPr>
          <w:p w:rsidRPr="00D9389D" w:rsidR="00D9389D" w:rsidP="00D9389D" w:rsidRDefault="00D9389D" w14:paraId="7D46EF05"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Como resultado de la deliberación sobre el tema de diálogo No. 2, se acordó que, para mejorar las formas de producción agropecuaria en las áreas de páramo del municipio, a fin de que esta actividad sea y se mantenga de bajo impacto, se concertó lo siguiente, en el marco de los lineamientos contenidos en la Resolución 1294 de 2021 y la Resolución 249 de 2022: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1. En el área de páramo del municipio de La Esperanza el enfoque debe ser pecuario, debido a que no hay cultivos agrícolas.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2. Capacitaciones en buenas ganaderas (BPG), manejo y gestión de residuos pecuarios de acuerdo con lo establecido en la Resolución 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3. Extensión agropecuaria con asistencia técnica que aborde temas como viveros de especies para producción de madera (Huertos leñeros) con el fin de elaboración de cercas y aprovechamiento de residuos (Biodigestores) de acuerdo con lo establecido en la Ley 1930 del 2018 y lo establecido en la Resolución 249 de 2022.</w:t>
            </w:r>
          </w:p>
        </w:tc>
        <w:tc>
          <w:tcPr>
            <w:tcW w:w="2636" w:type="dxa"/>
            <w:tcMar/>
            <w:vAlign w:val="center"/>
            <w:hideMark/>
          </w:tcPr>
          <w:p w:rsidRPr="00D9389D" w:rsidR="00D9389D" w:rsidP="00D9389D" w:rsidRDefault="00D9389D" w14:paraId="254C995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w:t>
            </w:r>
          </w:p>
        </w:tc>
      </w:tr>
      <w:tr w:rsidRPr="00D9389D" w:rsidR="00D9389D" w:rsidTr="3D8C40D4" w14:paraId="6ECDF066" w14:textId="77777777">
        <w:trPr>
          <w:trHeight w:val="7176"/>
        </w:trPr>
        <w:tc>
          <w:tcPr>
            <w:tcW w:w="704" w:type="dxa"/>
            <w:noWrap/>
            <w:tcMar/>
            <w:vAlign w:val="center"/>
            <w:hideMark/>
          </w:tcPr>
          <w:p w:rsidRPr="00D9389D" w:rsidR="00D9389D" w:rsidP="00D9389D" w:rsidRDefault="00D9389D" w14:paraId="20574B7D"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16</w:t>
            </w:r>
          </w:p>
        </w:tc>
        <w:tc>
          <w:tcPr>
            <w:tcW w:w="1276" w:type="dxa"/>
            <w:tcMar/>
            <w:vAlign w:val="center"/>
            <w:hideMark/>
          </w:tcPr>
          <w:p w:rsidRPr="00D9389D" w:rsidR="00D9389D" w:rsidP="00D9389D" w:rsidRDefault="00D9389D" w14:paraId="4FF7BD9F"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Puerto Santander (NS)</w:t>
            </w:r>
          </w:p>
        </w:tc>
        <w:tc>
          <w:tcPr>
            <w:tcW w:w="1120" w:type="dxa"/>
            <w:tcMar/>
            <w:vAlign w:val="center"/>
            <w:hideMark/>
          </w:tcPr>
          <w:p w:rsidRPr="00D9389D" w:rsidR="00D9389D" w:rsidP="00D9389D" w:rsidRDefault="00D9389D" w14:paraId="6E3253FA"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Casa de la cultura, cabecera municipal.</w:t>
            </w:r>
          </w:p>
        </w:tc>
        <w:tc>
          <w:tcPr>
            <w:tcW w:w="1431" w:type="dxa"/>
            <w:tcMar/>
            <w:vAlign w:val="center"/>
            <w:hideMark/>
          </w:tcPr>
          <w:p w:rsidRPr="00D9389D" w:rsidR="00D9389D" w:rsidP="00D9389D" w:rsidRDefault="00D9389D" w14:paraId="1BCC8825"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 5 de </w:t>
            </w:r>
            <w:proofErr w:type="gramStart"/>
            <w:r w:rsidRPr="00D9389D">
              <w:rPr>
                <w:rFonts w:ascii="Verdana" w:hAnsi="Verdana" w:eastAsia="Times New Roman" w:cs="Calibri"/>
                <w:color w:val="000000"/>
                <w:sz w:val="16"/>
                <w:szCs w:val="16"/>
                <w:lang w:eastAsia="es-CO"/>
              </w:rPr>
              <w:t>Septiembre</w:t>
            </w:r>
            <w:proofErr w:type="gramEnd"/>
            <w:r w:rsidRPr="00D9389D">
              <w:rPr>
                <w:rFonts w:ascii="Verdana" w:hAnsi="Verdana" w:eastAsia="Times New Roman" w:cs="Calibri"/>
                <w:color w:val="000000"/>
                <w:sz w:val="16"/>
                <w:szCs w:val="16"/>
                <w:lang w:eastAsia="es-CO"/>
              </w:rPr>
              <w:t xml:space="preserve"> 2025</w:t>
            </w:r>
          </w:p>
        </w:tc>
        <w:tc>
          <w:tcPr>
            <w:tcW w:w="5540" w:type="dxa"/>
            <w:tcMar/>
            <w:vAlign w:val="center"/>
            <w:hideMark/>
          </w:tcPr>
          <w:p w:rsidRPr="00D9389D" w:rsidR="00D9389D" w:rsidP="00D9389D" w:rsidRDefault="00D9389D" w14:paraId="108FC3B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Puerto Santander acordó que deben existir unos lineamientos para la reconversión y/o sustitución de actividades agropecuarias y mineras para garantizar la mayor protección del páramo reconociendo la necesidad de realizar acciones bajo lo establecido por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Sensibilización y concientización del uso adecuado de insumos en las prácticas agrícolas.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las buenas prácticas agrícolas en los cultivos como arroz, palma, yuca y cacao.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en los procesos de asistencias técnicas en las diferentes actividades agrícolas.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Apoyo institucional a la comunidad en temas de acompañamiento y seguimiento orientados a estrategias de mitigación y conservación de las especies de fauna por actividades agropecuarias (pesca artesanal).</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Desarrollo y ejecución de proyectos con actores institucionales como: FEDEARROZ, FEDEPALMA, FEDECACAO, AUNAP, SENA entre otros.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Manejo de aguas residuales y vertimientos asociaciones a la producción agropecuaria en el marco de la resolución 1294 de 2021 y 0249 de 2022.</w:t>
            </w:r>
          </w:p>
        </w:tc>
        <w:tc>
          <w:tcPr>
            <w:tcW w:w="2636" w:type="dxa"/>
            <w:tcMar/>
            <w:vAlign w:val="center"/>
            <w:hideMark/>
          </w:tcPr>
          <w:p w:rsidRPr="00D9389D" w:rsidR="00D9389D" w:rsidP="00D9389D" w:rsidRDefault="00D9389D" w14:paraId="7653256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w:t>
            </w:r>
          </w:p>
        </w:tc>
      </w:tr>
      <w:tr w:rsidRPr="00D9389D" w:rsidR="00D9389D" w:rsidTr="3D8C40D4" w14:paraId="5285EE69" w14:textId="77777777">
        <w:trPr>
          <w:trHeight w:val="5796"/>
        </w:trPr>
        <w:tc>
          <w:tcPr>
            <w:tcW w:w="704" w:type="dxa"/>
            <w:noWrap/>
            <w:tcMar/>
            <w:vAlign w:val="center"/>
            <w:hideMark/>
          </w:tcPr>
          <w:p w:rsidRPr="00D9389D" w:rsidR="00D9389D" w:rsidP="00D9389D" w:rsidRDefault="00D9389D" w14:paraId="6D8C6420"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17</w:t>
            </w:r>
          </w:p>
        </w:tc>
        <w:tc>
          <w:tcPr>
            <w:tcW w:w="1276" w:type="dxa"/>
            <w:tcMar/>
            <w:vAlign w:val="center"/>
            <w:hideMark/>
          </w:tcPr>
          <w:p w:rsidRPr="00D9389D" w:rsidR="00D9389D" w:rsidP="00D9389D" w:rsidRDefault="00D9389D" w14:paraId="3DEA0F32"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Santiago (NS)</w:t>
            </w:r>
          </w:p>
        </w:tc>
        <w:tc>
          <w:tcPr>
            <w:tcW w:w="1120" w:type="dxa"/>
            <w:tcMar/>
            <w:vAlign w:val="center"/>
            <w:hideMark/>
          </w:tcPr>
          <w:p w:rsidRPr="00D9389D" w:rsidR="00D9389D" w:rsidP="00D9389D" w:rsidRDefault="00D9389D" w14:paraId="5755B679"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Punto vive digital, cabecera municipal</w:t>
            </w:r>
          </w:p>
        </w:tc>
        <w:tc>
          <w:tcPr>
            <w:tcW w:w="1431" w:type="dxa"/>
            <w:tcMar/>
            <w:vAlign w:val="center"/>
            <w:hideMark/>
          </w:tcPr>
          <w:p w:rsidRPr="00D9389D" w:rsidR="00D9389D" w:rsidP="00D9389D" w:rsidRDefault="00D9389D" w14:paraId="0E461A79"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6 de </w:t>
            </w:r>
            <w:proofErr w:type="gramStart"/>
            <w:r w:rsidRPr="00D9389D">
              <w:rPr>
                <w:rFonts w:ascii="Verdana" w:hAnsi="Verdana" w:eastAsia="Times New Roman" w:cs="Calibri"/>
                <w:color w:val="000000"/>
                <w:sz w:val="16"/>
                <w:szCs w:val="16"/>
                <w:lang w:eastAsia="es-CO"/>
              </w:rPr>
              <w:t>Septiembre</w:t>
            </w:r>
            <w:proofErr w:type="gramEnd"/>
            <w:r w:rsidRPr="00D9389D">
              <w:rPr>
                <w:rFonts w:ascii="Verdana" w:hAnsi="Verdana" w:eastAsia="Times New Roman" w:cs="Calibri"/>
                <w:color w:val="000000"/>
                <w:sz w:val="16"/>
                <w:szCs w:val="16"/>
                <w:lang w:eastAsia="es-CO"/>
              </w:rPr>
              <w:t xml:space="preserve"> 2025</w:t>
            </w:r>
          </w:p>
        </w:tc>
        <w:tc>
          <w:tcPr>
            <w:tcW w:w="5540" w:type="dxa"/>
            <w:tcMar/>
            <w:vAlign w:val="center"/>
            <w:hideMark/>
          </w:tcPr>
          <w:p w:rsidRPr="00D9389D" w:rsidR="00D9389D" w:rsidP="00D9389D" w:rsidRDefault="00D9389D" w14:paraId="3272579E"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Santiago acordó que deben existir unos lineamientos para la reconversión y/o sustitución de actividades agropecuarias y mineras para garantizar la mayor protección del páramo reconociendo la necesidad de realizar acciones bajo lo establecido por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las buenas prácticas agropecuarias (BPA), en el marco de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Acompañamiento y asistencia técnica a ganaderos con implementación de ganadería regenerativa.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Acciones orientadas a disminuir la generación de gases de efecto invernadero, en el marco de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Proyectos a largo plazo para garantizar un verdadero impacto con seguimiento y vigilancia de los mismos.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Saneamiento predial en áreas de páramo.</w:t>
            </w:r>
          </w:p>
        </w:tc>
        <w:tc>
          <w:tcPr>
            <w:tcW w:w="2636" w:type="dxa"/>
            <w:tcMar/>
            <w:vAlign w:val="center"/>
            <w:hideMark/>
          </w:tcPr>
          <w:p w:rsidRPr="00D9389D" w:rsidR="00D9389D" w:rsidP="00D9389D" w:rsidRDefault="00D9389D" w14:paraId="6798230F"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Concertado acorde a los lineamientos de la Resolución 249 de 2022 en cuanto a saneamiento predial aplica el artículo 8 de la ley 1930 de 2018 adicionalmente como parte de los insumos para la elaboración de los lineamientos de los programas de reconversión Lineamientos de Política de Ganadería Bovina Sostenible – Resolución 00126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Adopta lineamientos para una ganadería sostenible, incluyendo la implementación de sistemas silvopastoriles, manejo sostenible de pasturas y reducción de emisiones de GEI en el sector bovino</w:t>
            </w:r>
          </w:p>
        </w:tc>
      </w:tr>
      <w:tr w:rsidRPr="00D9389D" w:rsidR="00D9389D" w:rsidTr="3D8C40D4" w14:paraId="51BBCC22" w14:textId="77777777">
        <w:trPr>
          <w:trHeight w:val="7452"/>
        </w:trPr>
        <w:tc>
          <w:tcPr>
            <w:tcW w:w="704" w:type="dxa"/>
            <w:noWrap/>
            <w:tcMar/>
            <w:vAlign w:val="center"/>
            <w:hideMark/>
          </w:tcPr>
          <w:p w:rsidRPr="00D9389D" w:rsidR="00D9389D" w:rsidP="00D9389D" w:rsidRDefault="00D9389D" w14:paraId="77180490"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18</w:t>
            </w:r>
          </w:p>
        </w:tc>
        <w:tc>
          <w:tcPr>
            <w:tcW w:w="1276" w:type="dxa"/>
            <w:tcMar/>
            <w:vAlign w:val="center"/>
            <w:hideMark/>
          </w:tcPr>
          <w:p w:rsidRPr="00D9389D" w:rsidR="00D9389D" w:rsidP="00D9389D" w:rsidRDefault="00D9389D" w14:paraId="6F740105"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San Cayetano (NS)</w:t>
            </w:r>
          </w:p>
        </w:tc>
        <w:tc>
          <w:tcPr>
            <w:tcW w:w="1120" w:type="dxa"/>
            <w:tcMar/>
            <w:vAlign w:val="center"/>
            <w:hideMark/>
          </w:tcPr>
          <w:p w:rsidRPr="00D9389D" w:rsidR="00D9389D" w:rsidP="00D9389D" w:rsidRDefault="00D9389D" w14:paraId="50580EA2"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Auditorio Alcaldía San Cayetano</w:t>
            </w:r>
          </w:p>
        </w:tc>
        <w:tc>
          <w:tcPr>
            <w:tcW w:w="1431" w:type="dxa"/>
            <w:tcMar/>
            <w:vAlign w:val="center"/>
            <w:hideMark/>
          </w:tcPr>
          <w:p w:rsidRPr="00D9389D" w:rsidR="00D9389D" w:rsidP="00D9389D" w:rsidRDefault="00D9389D" w14:paraId="5D363364"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16 de octubre 2025</w:t>
            </w:r>
          </w:p>
        </w:tc>
        <w:tc>
          <w:tcPr>
            <w:tcW w:w="5540" w:type="dxa"/>
            <w:tcMar/>
            <w:vAlign w:val="center"/>
            <w:hideMark/>
          </w:tcPr>
          <w:p w:rsidRPr="00D9389D" w:rsidR="00D9389D" w:rsidP="00D9389D" w:rsidRDefault="00D9389D" w14:paraId="035E7BAB"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San Cayetano acordó que deben existir unos lineamientos para la reconversión y/o sustitución de actividades agropecuarias y mineras para garantizar la mayor protección del páramo reconociendo la necesidad de realizar acciones bajo lo establecido por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Las actividades que se realizan en el páramo deben estar dirigidas a la protección del medio ambiente, es decir que se realicen bajo los parámetros de mayor protección del páramo.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 comunidad en general estuvo de acuerdo con los lineamientos de prácticas agropecuarias que contribuyan a la protección del ecosistema de páramo establecidos en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No realizar actividades mineras en el páramo, tal y como lo menciona la Ley 1930 del 2018.</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Se realicé apoyo por parte de los municipios beneficiarios en la compra de productos agropecuarios que provienen del páramo mediante mercados campesinos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Recambio y reposición de especies introducidas por especies nativas al interior del páramo de acuerdo con la resolución 1294 de 2021.</w:t>
            </w:r>
          </w:p>
        </w:tc>
        <w:tc>
          <w:tcPr>
            <w:tcW w:w="2636" w:type="dxa"/>
            <w:tcMar/>
            <w:vAlign w:val="center"/>
            <w:hideMark/>
          </w:tcPr>
          <w:p w:rsidRPr="00D9389D" w:rsidR="00D9389D" w:rsidP="00D9389D" w:rsidRDefault="00D9389D" w14:paraId="5ABAF7A8"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510E702A" w14:textId="77777777">
        <w:trPr>
          <w:trHeight w:val="7176"/>
        </w:trPr>
        <w:tc>
          <w:tcPr>
            <w:tcW w:w="704" w:type="dxa"/>
            <w:noWrap/>
            <w:tcMar/>
            <w:vAlign w:val="center"/>
            <w:hideMark/>
          </w:tcPr>
          <w:p w:rsidRPr="00D9389D" w:rsidR="00D9389D" w:rsidP="00D9389D" w:rsidRDefault="00D9389D" w14:paraId="2C9327F8"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19</w:t>
            </w:r>
          </w:p>
        </w:tc>
        <w:tc>
          <w:tcPr>
            <w:tcW w:w="1276" w:type="dxa"/>
            <w:tcMar/>
            <w:vAlign w:val="center"/>
            <w:hideMark/>
          </w:tcPr>
          <w:p w:rsidRPr="00D9389D" w:rsidR="00D9389D" w:rsidP="00D9389D" w:rsidRDefault="00D9389D" w14:paraId="247112FD"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El Zulia (NS)</w:t>
            </w:r>
          </w:p>
        </w:tc>
        <w:tc>
          <w:tcPr>
            <w:tcW w:w="1120" w:type="dxa"/>
            <w:tcMar/>
            <w:vAlign w:val="center"/>
            <w:hideMark/>
          </w:tcPr>
          <w:p w:rsidRPr="00D9389D" w:rsidR="00D9389D" w:rsidP="00D9389D" w:rsidRDefault="00D9389D" w14:paraId="20F228BD"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Casa de la mujer empoderada, El Zulia</w:t>
            </w:r>
          </w:p>
        </w:tc>
        <w:tc>
          <w:tcPr>
            <w:tcW w:w="1431" w:type="dxa"/>
            <w:tcMar/>
            <w:vAlign w:val="center"/>
            <w:hideMark/>
          </w:tcPr>
          <w:p w:rsidRPr="00D9389D" w:rsidR="00D9389D" w:rsidP="00D9389D" w:rsidRDefault="00D9389D" w14:paraId="05119050"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15 de octubre 2025</w:t>
            </w:r>
          </w:p>
        </w:tc>
        <w:tc>
          <w:tcPr>
            <w:tcW w:w="5540" w:type="dxa"/>
            <w:tcMar/>
            <w:vAlign w:val="center"/>
            <w:hideMark/>
          </w:tcPr>
          <w:p w:rsidRPr="00D9389D" w:rsidR="00D9389D" w:rsidP="00D9389D" w:rsidRDefault="00D9389D" w14:paraId="0DDA02A4"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El Zulia acordó que deben existir unos lineamientos para la reconversión y/o sustitución de actividades agropecuarias y mineras para garantizar la mayor protección del páramo reconociendo la necesidad de realizar acciones bajo lo establecido por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Las actividades que se realizan en el páramo deben estar dirigidas a la protección del medio ambiente, es decir que se realicen bajo los parámetros de mayor protección del páramo.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 comunidad en general estuvo de acuerdo en la agricultura de bajo impacto en el páramo de acuerdo con los lineamientos establecidos en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Implementación de incentivos como pagos por servicios ambientales y bonos de carbono para los habitantes de páramo de acuerdo con la normativa vigente.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No realizar actividades mineras en el páramo, tal y como lo menciona la Ley 1930 del 2018.</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las buenas prácticas agropecuarias (BPA), en el marco de la resolución 1294 de 2021 y 0249 de 2022.</w:t>
            </w:r>
          </w:p>
        </w:tc>
        <w:tc>
          <w:tcPr>
            <w:tcW w:w="2636" w:type="dxa"/>
            <w:tcMar/>
            <w:vAlign w:val="center"/>
            <w:hideMark/>
          </w:tcPr>
          <w:p w:rsidRPr="00D9389D" w:rsidR="00D9389D" w:rsidP="00D9389D" w:rsidRDefault="00D9389D" w14:paraId="7FA3FC2E"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706FA586" w14:textId="77777777">
        <w:trPr>
          <w:trHeight w:val="8004"/>
        </w:trPr>
        <w:tc>
          <w:tcPr>
            <w:tcW w:w="704" w:type="dxa"/>
            <w:noWrap/>
            <w:tcMar/>
            <w:vAlign w:val="center"/>
            <w:hideMark/>
          </w:tcPr>
          <w:p w:rsidRPr="00D9389D" w:rsidR="00D9389D" w:rsidP="00D9389D" w:rsidRDefault="00D9389D" w14:paraId="31F1D40D"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20</w:t>
            </w:r>
          </w:p>
        </w:tc>
        <w:tc>
          <w:tcPr>
            <w:tcW w:w="1276" w:type="dxa"/>
            <w:tcMar/>
            <w:vAlign w:val="center"/>
            <w:hideMark/>
          </w:tcPr>
          <w:p w:rsidRPr="00D9389D" w:rsidR="00D9389D" w:rsidP="00D9389D" w:rsidRDefault="00D9389D" w14:paraId="2560B391"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Toledo (NS)</w:t>
            </w:r>
          </w:p>
        </w:tc>
        <w:tc>
          <w:tcPr>
            <w:tcW w:w="1120" w:type="dxa"/>
            <w:tcMar/>
            <w:vAlign w:val="center"/>
            <w:hideMark/>
          </w:tcPr>
          <w:p w:rsidRPr="00D9389D" w:rsidR="00D9389D" w:rsidP="00D9389D" w:rsidRDefault="00D9389D" w14:paraId="09D58809"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centro educativo rural de la unión, Vereda Pica </w:t>
            </w:r>
            <w:proofErr w:type="spellStart"/>
            <w:r w:rsidRPr="00D9389D">
              <w:rPr>
                <w:rFonts w:ascii="Verdana" w:hAnsi="Verdana" w:eastAsia="Times New Roman" w:cs="Calibri"/>
                <w:color w:val="000000"/>
                <w:sz w:val="16"/>
                <w:szCs w:val="16"/>
                <w:lang w:eastAsia="es-CO"/>
              </w:rPr>
              <w:t>Pica</w:t>
            </w:r>
            <w:proofErr w:type="spellEnd"/>
            <w:r w:rsidRPr="00D9389D">
              <w:rPr>
                <w:rFonts w:ascii="Verdana" w:hAnsi="Verdana" w:eastAsia="Times New Roman" w:cs="Calibri"/>
                <w:color w:val="000000"/>
                <w:sz w:val="16"/>
                <w:szCs w:val="16"/>
                <w:lang w:eastAsia="es-CO"/>
              </w:rPr>
              <w:t>.</w:t>
            </w:r>
          </w:p>
        </w:tc>
        <w:tc>
          <w:tcPr>
            <w:tcW w:w="1431" w:type="dxa"/>
            <w:tcMar/>
            <w:vAlign w:val="center"/>
            <w:hideMark/>
          </w:tcPr>
          <w:p w:rsidRPr="00D9389D" w:rsidR="00D9389D" w:rsidP="00D9389D" w:rsidRDefault="00D9389D" w14:paraId="5FD08A40"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17 de </w:t>
            </w:r>
            <w:proofErr w:type="gramStart"/>
            <w:r w:rsidRPr="00D9389D">
              <w:rPr>
                <w:rFonts w:ascii="Verdana" w:hAnsi="Verdana" w:eastAsia="Times New Roman" w:cs="Calibri"/>
                <w:color w:val="000000"/>
                <w:sz w:val="16"/>
                <w:szCs w:val="16"/>
                <w:lang w:eastAsia="es-CO"/>
              </w:rPr>
              <w:t>Septiembre</w:t>
            </w:r>
            <w:proofErr w:type="gramEnd"/>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29 de octubre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22 de </w:t>
            </w:r>
            <w:proofErr w:type="gramStart"/>
            <w:r w:rsidRPr="00D9389D">
              <w:rPr>
                <w:rFonts w:ascii="Verdana" w:hAnsi="Verdana" w:eastAsia="Times New Roman" w:cs="Calibri"/>
                <w:color w:val="000000"/>
                <w:sz w:val="16"/>
                <w:szCs w:val="16"/>
                <w:lang w:eastAsia="es-CO"/>
              </w:rPr>
              <w:t>Noviembre</w:t>
            </w:r>
            <w:proofErr w:type="gramEnd"/>
            <w:r w:rsidRPr="00D9389D">
              <w:rPr>
                <w:rFonts w:ascii="Verdana" w:hAnsi="Verdana" w:eastAsia="Times New Roman" w:cs="Calibri"/>
                <w:color w:val="000000"/>
                <w:sz w:val="16"/>
                <w:szCs w:val="16"/>
                <w:lang w:eastAsia="es-CO"/>
              </w:rPr>
              <w:t xml:space="preserve"> 2025</w:t>
            </w:r>
          </w:p>
        </w:tc>
        <w:tc>
          <w:tcPr>
            <w:tcW w:w="5540" w:type="dxa"/>
            <w:tcMar/>
            <w:vAlign w:val="center"/>
            <w:hideMark/>
          </w:tcPr>
          <w:p w:rsidRPr="00D9389D" w:rsidR="00D9389D" w:rsidP="00D9389D" w:rsidRDefault="00D9389D" w14:paraId="5E548FF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Como resultado de la deliberación sobre el tema de diálogo No. 2, se acordó que, para mejorar las formas de producción agropecuaria en las áreas de páramo del municipio, a fin de que esta actividad sea y se mantenga de bajo impacto, se concertó lo siguiente:</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 comunidad reconoce la importancia de proteger y conservar el ecosistema mediante prácticas de producción sostenibles, tal como lo establece la Resolución 1294 de 2021, y la importancia de la implementación de una metodología para identificar el impacto de las actividades agropecuarias sobre el ecosistema.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Se acordó que los programas de reconversión y sustitución de actividades agropecuarias deberán cumplir con los siguientes lineamientos: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Fortalecer las capacidades de los campesinos mediante la promoción de buenas prácticas agrícolas y ganaderas (BPA – BPG).</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Conservar las fuentes hídricas, por ejemplo, a través de la adquisición de predios.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Garantizar ingresos económicos para quienes deban sustituir sus actividades agropecuarias.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Diseñar los programas y estrategias de reconversión con criterios técnicos que respondan a las condiciones específicas del territorio.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Otorgar incentivos económicos a las personas que habitan dentro del ecosistema de páramo.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Brindar asistencia técnica y social que acompañe a los productores durante todo el proceso de reconversión.</w:t>
            </w:r>
          </w:p>
        </w:tc>
        <w:tc>
          <w:tcPr>
            <w:tcW w:w="2636" w:type="dxa"/>
            <w:tcMar/>
            <w:vAlign w:val="center"/>
            <w:hideMark/>
          </w:tcPr>
          <w:p w:rsidRPr="00D9389D" w:rsidR="00D9389D" w:rsidP="00D9389D" w:rsidRDefault="00D9389D" w14:paraId="6D22F075"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18684601" w14:textId="77777777">
        <w:trPr>
          <w:trHeight w:val="6624"/>
        </w:trPr>
        <w:tc>
          <w:tcPr>
            <w:tcW w:w="704" w:type="dxa"/>
            <w:noWrap/>
            <w:tcMar/>
            <w:vAlign w:val="center"/>
            <w:hideMark/>
          </w:tcPr>
          <w:p w:rsidRPr="00D9389D" w:rsidR="00D9389D" w:rsidP="00D9389D" w:rsidRDefault="00D9389D" w14:paraId="062DEA9D"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21</w:t>
            </w:r>
          </w:p>
        </w:tc>
        <w:tc>
          <w:tcPr>
            <w:tcW w:w="1276" w:type="dxa"/>
            <w:tcMar/>
            <w:vAlign w:val="center"/>
            <w:hideMark/>
          </w:tcPr>
          <w:p w:rsidRPr="00D9389D" w:rsidR="00D9389D" w:rsidP="00D9389D" w:rsidRDefault="00D9389D" w14:paraId="2A8E2FED"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Villa del Rosario (NS)</w:t>
            </w:r>
          </w:p>
        </w:tc>
        <w:tc>
          <w:tcPr>
            <w:tcW w:w="1120" w:type="dxa"/>
            <w:tcMar/>
            <w:vAlign w:val="center"/>
            <w:hideMark/>
          </w:tcPr>
          <w:p w:rsidRPr="00D9389D" w:rsidR="00D9389D" w:rsidP="00D9389D" w:rsidRDefault="00D9389D" w14:paraId="2BD154FD"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Auditorio alcaldía municipal barrio centro</w:t>
            </w:r>
          </w:p>
        </w:tc>
        <w:tc>
          <w:tcPr>
            <w:tcW w:w="1431" w:type="dxa"/>
            <w:tcMar/>
            <w:vAlign w:val="center"/>
            <w:hideMark/>
          </w:tcPr>
          <w:p w:rsidRPr="00D9389D" w:rsidR="00D9389D" w:rsidP="00D9389D" w:rsidRDefault="00D9389D" w14:paraId="18B6491A"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 25 de noviembre 2025</w:t>
            </w:r>
          </w:p>
        </w:tc>
        <w:tc>
          <w:tcPr>
            <w:tcW w:w="5540" w:type="dxa"/>
            <w:tcMar/>
            <w:vAlign w:val="center"/>
            <w:hideMark/>
          </w:tcPr>
          <w:p w:rsidRPr="00D9389D" w:rsidR="00D9389D" w:rsidP="00D9389D" w:rsidRDefault="00D9389D" w14:paraId="241F2019"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Villa del Rosario acordó que deben existir unos lineamientos para la reconversión y/o sustitución de actividades agropecuarias y mineras para garantizar la mayor protección del páramo reconociendo la necesidad de realizar acciones bajo impacto establecido por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Así mismo, la comunidad indicó que las actividades agropecuarias en el área de páramo deberían realizarse teniendo en cuenta: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xml:space="preserve"> </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Visión holística del Complejo de Páramos Jurisdicciones – Santurbán - Berlín.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Incentivar la agricultura orgánica.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Implementar incentivos como Pagos por Servicios Ambientales para la desincentivar las actividades ganaderas en área de páramo.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Sustitución de actividades mineras en áreas de páramo tal como lo menciona la Ley 1930 de 2018</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Asociaciones colaborativas con productores de páramo.</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Fortalecimiento de mercados campesinos.</w:t>
            </w:r>
          </w:p>
        </w:tc>
        <w:tc>
          <w:tcPr>
            <w:tcW w:w="2636" w:type="dxa"/>
            <w:tcMar/>
            <w:vAlign w:val="center"/>
            <w:hideMark/>
          </w:tcPr>
          <w:p w:rsidRPr="00D9389D" w:rsidR="00D9389D" w:rsidP="00D9389D" w:rsidRDefault="00D9389D" w14:paraId="591F14A8"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211E3AB3" w14:textId="77777777">
        <w:trPr>
          <w:trHeight w:val="7452"/>
        </w:trPr>
        <w:tc>
          <w:tcPr>
            <w:tcW w:w="704" w:type="dxa"/>
            <w:noWrap/>
            <w:tcMar/>
            <w:vAlign w:val="center"/>
            <w:hideMark/>
          </w:tcPr>
          <w:p w:rsidRPr="00D9389D" w:rsidR="00D9389D" w:rsidP="00D9389D" w:rsidRDefault="00D9389D" w14:paraId="73524716"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22</w:t>
            </w:r>
          </w:p>
        </w:tc>
        <w:tc>
          <w:tcPr>
            <w:tcW w:w="1276" w:type="dxa"/>
            <w:tcMar/>
            <w:vAlign w:val="center"/>
            <w:hideMark/>
          </w:tcPr>
          <w:p w:rsidRPr="00D9389D" w:rsidR="00D9389D" w:rsidP="00D9389D" w:rsidRDefault="00D9389D" w14:paraId="367E1612"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San José de Cúcuta (NS)</w:t>
            </w:r>
          </w:p>
        </w:tc>
        <w:tc>
          <w:tcPr>
            <w:tcW w:w="1120" w:type="dxa"/>
            <w:tcMar/>
            <w:vAlign w:val="center"/>
            <w:hideMark/>
          </w:tcPr>
          <w:p w:rsidRPr="00D9389D" w:rsidR="00D9389D" w:rsidP="00D9389D" w:rsidRDefault="00D9389D" w14:paraId="1E218CC7"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Salón </w:t>
            </w:r>
            <w:proofErr w:type="spellStart"/>
            <w:r w:rsidRPr="00D9389D">
              <w:rPr>
                <w:rFonts w:ascii="Verdana" w:hAnsi="Verdana" w:eastAsia="Times New Roman" w:cs="Calibri"/>
                <w:color w:val="000000"/>
                <w:sz w:val="16"/>
                <w:szCs w:val="16"/>
                <w:lang w:eastAsia="es-CO"/>
              </w:rPr>
              <w:t>multiple</w:t>
            </w:r>
            <w:proofErr w:type="spellEnd"/>
            <w:r w:rsidRPr="00D9389D">
              <w:rPr>
                <w:rFonts w:ascii="Verdana" w:hAnsi="Verdana" w:eastAsia="Times New Roman" w:cs="Calibri"/>
                <w:color w:val="000000"/>
                <w:sz w:val="16"/>
                <w:szCs w:val="16"/>
                <w:lang w:eastAsia="es-CO"/>
              </w:rPr>
              <w:t xml:space="preserve"> de CORPONOR</w:t>
            </w:r>
          </w:p>
        </w:tc>
        <w:tc>
          <w:tcPr>
            <w:tcW w:w="1431" w:type="dxa"/>
            <w:tcMar/>
            <w:vAlign w:val="center"/>
            <w:hideMark/>
          </w:tcPr>
          <w:p w:rsidRPr="00D9389D" w:rsidR="00D9389D" w:rsidP="00D9389D" w:rsidRDefault="00D9389D" w14:paraId="082278C7"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26 de noviembre 2025</w:t>
            </w:r>
          </w:p>
        </w:tc>
        <w:tc>
          <w:tcPr>
            <w:tcW w:w="5540" w:type="dxa"/>
            <w:tcMar/>
            <w:vAlign w:val="center"/>
            <w:hideMark/>
          </w:tcPr>
          <w:p w:rsidRPr="00D9389D" w:rsidR="00D9389D" w:rsidP="00D9389D" w:rsidRDefault="00D9389D" w14:paraId="2D800C89"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la mesa de trabajo y deliberación del tema de diálogo No. 2, tras el diálogo y el análisis conjunto con las comunidades y las entidades presentes, el municipio de San José de Cúcuta acordó que deben existir unos lineamientos para la reconversión y/o sustitución de actividades agropecuarias y mineras para garantizar la mayor protección del páramo reconociendo la necesidad de realizar acciones bajo impacto establecido por la resolución 1294 de 2021 y 0249 de 2022:</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Así mismo, la comunidad indicó que las actividades agropecuarias en el área de páramo deberían realizarse teniendo en cuenta: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La promoción del consumo de productos sostenibles certificados.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El establecimiento de los tiempos de transición y responsables institucionales teniendo en cuenta los diferentes programas, planes y proyectos.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Que se deben ayudar a financiar los procesos de certificación.</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Incentivar la producción agroecológica y orgánica.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Asistencia técnica para integración de conocimientos.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Promover cultivos mixtos y variabilidad genética.</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Manejo y uso seguro plaguicidas</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Acompañamiento de la reconversión, seguimiento, capacitación en BPA y BPG.</w:t>
            </w:r>
            <w:r w:rsidRPr="00D9389D">
              <w:rPr>
                <w:rFonts w:ascii="Verdana" w:hAnsi="Verdana" w:eastAsia="Times New Roman" w:cs="Calibri"/>
                <w:color w:val="000000"/>
                <w:sz w:val="16"/>
                <w:szCs w:val="16"/>
                <w:lang w:eastAsia="es-CO"/>
              </w:rPr>
              <w:br/>
            </w:r>
            <w:r w:rsidRPr="00D9389D">
              <w:rPr>
                <w:rFonts w:ascii="Verdana" w:hAnsi="Verdana" w:eastAsia="Times New Roman" w:cs="Calibri"/>
                <w:color w:val="000000"/>
                <w:sz w:val="16"/>
                <w:szCs w:val="16"/>
                <w:lang w:eastAsia="es-CO"/>
              </w:rPr>
              <w:t>- Que la evaluación y seguimiento de la reconversión no sea solo de las CAR sino de las entidades territoriales.</w:t>
            </w:r>
          </w:p>
        </w:tc>
        <w:tc>
          <w:tcPr>
            <w:tcW w:w="2636" w:type="dxa"/>
            <w:tcMar/>
            <w:vAlign w:val="center"/>
            <w:hideMark/>
          </w:tcPr>
          <w:p w:rsidRPr="00D9389D" w:rsidR="00D9389D" w:rsidP="00D9389D" w:rsidRDefault="00D9389D" w14:paraId="246DBDFC"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38172086" w14:textId="77777777">
        <w:trPr>
          <w:trHeight w:val="5520"/>
        </w:trPr>
        <w:tc>
          <w:tcPr>
            <w:tcW w:w="704" w:type="dxa"/>
            <w:noWrap/>
            <w:tcMar/>
            <w:vAlign w:val="center"/>
            <w:hideMark/>
          </w:tcPr>
          <w:p w:rsidRPr="00D9389D" w:rsidR="00D9389D" w:rsidP="00D9389D" w:rsidRDefault="00D9389D" w14:paraId="1FBEA9D0"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23</w:t>
            </w:r>
          </w:p>
        </w:tc>
        <w:tc>
          <w:tcPr>
            <w:tcW w:w="1276" w:type="dxa"/>
            <w:tcMar/>
            <w:vAlign w:val="center"/>
            <w:hideMark/>
          </w:tcPr>
          <w:p w:rsidRPr="00D9389D" w:rsidR="00D9389D" w:rsidP="00D9389D" w:rsidRDefault="00D9389D" w14:paraId="708560A9"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Girón (S)</w:t>
            </w:r>
          </w:p>
        </w:tc>
        <w:tc>
          <w:tcPr>
            <w:tcW w:w="1120" w:type="dxa"/>
            <w:tcMar/>
            <w:vAlign w:val="center"/>
            <w:hideMark/>
          </w:tcPr>
          <w:p w:rsidRPr="00D9389D" w:rsidR="00D9389D" w:rsidP="00D9389D" w:rsidRDefault="00D9389D" w14:paraId="47DA13E7"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Colegio Luis Carlos Galán</w:t>
            </w:r>
          </w:p>
        </w:tc>
        <w:tc>
          <w:tcPr>
            <w:tcW w:w="1431" w:type="dxa"/>
            <w:tcMar/>
            <w:vAlign w:val="center"/>
            <w:hideMark/>
          </w:tcPr>
          <w:p w:rsidRPr="00D9389D" w:rsidR="00D9389D" w:rsidP="00D9389D" w:rsidRDefault="00D9389D" w14:paraId="143A5CF6"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4 de junio 2026</w:t>
            </w:r>
          </w:p>
        </w:tc>
        <w:tc>
          <w:tcPr>
            <w:tcW w:w="5540" w:type="dxa"/>
            <w:tcMar/>
            <w:vAlign w:val="center"/>
            <w:hideMark/>
          </w:tcPr>
          <w:p w:rsidRPr="00D9389D" w:rsidR="00D9389D" w:rsidP="00D9389D" w:rsidRDefault="00D9389D" w14:paraId="1E0D0D41"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En el espacio y deliberación del tema de diálogo No. 2, tras el diálogo y el análisis conjunto con las comunidades y las entidades presentes, el municipio de Girón acordó que deben existir unos lineamientos para la reconversión y/o sustitución de actividades agropecuarias y mineras para garantizar la mayor protección del páramo reconociendo la necesidad de realizar acciones bajo impacto establecido por la resolución 1294 de 2021 y 0249 de 2022, </w:t>
            </w:r>
            <w:proofErr w:type="spellStart"/>
            <w:r w:rsidRPr="00D9389D">
              <w:rPr>
                <w:rFonts w:ascii="Verdana" w:hAnsi="Verdana" w:eastAsia="Times New Roman" w:cs="Calibri"/>
                <w:color w:val="000000"/>
                <w:sz w:val="16"/>
                <w:szCs w:val="16"/>
                <w:lang w:eastAsia="es-CO"/>
              </w:rPr>
              <w:t>Asi</w:t>
            </w:r>
            <w:proofErr w:type="spellEnd"/>
            <w:r w:rsidRPr="00D9389D">
              <w:rPr>
                <w:rFonts w:ascii="Verdana" w:hAnsi="Verdana" w:eastAsia="Times New Roman" w:cs="Calibri"/>
                <w:color w:val="000000"/>
                <w:sz w:val="16"/>
                <w:szCs w:val="16"/>
                <w:lang w:eastAsia="es-CO"/>
              </w:rPr>
              <w:t xml:space="preserve"> mismo indico estar de acuerdo con resolución 40279 de 2022 del Ministerio de Minas y Energía. (Lineamientos de programas de sustitución de actividades mineras y reconversión o reubicación laboral de los pequeños mineros tradicionales, ubicados en ecosistemas de páramos delimitado) y Resolución 1468 de 2021 del Ministerio de Ambiente y Desarrollo Sostenible (Lineamientos ambientales programa de sustitución que involucra el cierre, desmantelamiento, restauración y reconformación de las áreas intervenidas por minería y el programa de reconversión o reubicación laboral)</w:t>
            </w:r>
          </w:p>
        </w:tc>
        <w:tc>
          <w:tcPr>
            <w:tcW w:w="2636" w:type="dxa"/>
            <w:tcMar/>
            <w:vAlign w:val="center"/>
            <w:hideMark/>
          </w:tcPr>
          <w:p w:rsidRPr="00D9389D" w:rsidR="00D9389D" w:rsidP="00D9389D" w:rsidRDefault="00D9389D" w14:paraId="75C23FD1"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54E8D621" w14:textId="77777777">
        <w:trPr>
          <w:trHeight w:val="5520"/>
        </w:trPr>
        <w:tc>
          <w:tcPr>
            <w:tcW w:w="704" w:type="dxa"/>
            <w:noWrap/>
            <w:tcMar/>
            <w:vAlign w:val="center"/>
            <w:hideMark/>
          </w:tcPr>
          <w:p w:rsidRPr="00D9389D" w:rsidR="00D9389D" w:rsidP="00D9389D" w:rsidRDefault="00D9389D" w14:paraId="6A478839"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24</w:t>
            </w:r>
          </w:p>
        </w:tc>
        <w:tc>
          <w:tcPr>
            <w:tcW w:w="1276" w:type="dxa"/>
            <w:tcMar/>
            <w:vAlign w:val="center"/>
            <w:hideMark/>
          </w:tcPr>
          <w:p w:rsidRPr="00D9389D" w:rsidR="00D9389D" w:rsidP="00D9389D" w:rsidRDefault="00D9389D" w14:paraId="5541E0DA"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Floridablanca (S)</w:t>
            </w:r>
          </w:p>
        </w:tc>
        <w:tc>
          <w:tcPr>
            <w:tcW w:w="1120" w:type="dxa"/>
            <w:tcMar/>
            <w:vAlign w:val="center"/>
            <w:hideMark/>
          </w:tcPr>
          <w:p w:rsidRPr="00D9389D" w:rsidR="00D9389D" w:rsidP="00D9389D" w:rsidRDefault="00D9389D" w14:paraId="5B5BE57C" w14:textId="77777777">
            <w:pPr>
              <w:spacing w:after="0" w:line="240" w:lineRule="auto"/>
              <w:jc w:val="center"/>
              <w:rPr>
                <w:rFonts w:ascii="Verdana" w:hAnsi="Verdana" w:eastAsia="Times New Roman" w:cs="Calibri"/>
                <w:color w:val="000000"/>
                <w:sz w:val="16"/>
                <w:szCs w:val="16"/>
                <w:lang w:eastAsia="es-CO"/>
              </w:rPr>
            </w:pPr>
            <w:proofErr w:type="gramStart"/>
            <w:r w:rsidRPr="00D9389D">
              <w:rPr>
                <w:rFonts w:ascii="Verdana" w:hAnsi="Verdana" w:eastAsia="Times New Roman" w:cs="Calibri"/>
                <w:color w:val="000000"/>
                <w:sz w:val="16"/>
                <w:szCs w:val="16"/>
                <w:lang w:eastAsia="es-CO"/>
              </w:rPr>
              <w:t>Cabecera  municipal</w:t>
            </w:r>
            <w:proofErr w:type="gramEnd"/>
            <w:r w:rsidRPr="00D9389D">
              <w:rPr>
                <w:rFonts w:ascii="Verdana" w:hAnsi="Verdana" w:eastAsia="Times New Roman" w:cs="Calibri"/>
                <w:color w:val="000000"/>
                <w:sz w:val="16"/>
                <w:szCs w:val="16"/>
                <w:lang w:eastAsia="es-CO"/>
              </w:rPr>
              <w:t xml:space="preserve"> (Auditorio Duilio Romano Alterio Baso, Sector Lagos)</w:t>
            </w:r>
          </w:p>
        </w:tc>
        <w:tc>
          <w:tcPr>
            <w:tcW w:w="1431" w:type="dxa"/>
            <w:tcMar/>
            <w:vAlign w:val="center"/>
            <w:hideMark/>
          </w:tcPr>
          <w:p w:rsidRPr="00D9389D" w:rsidR="00D9389D" w:rsidP="00D9389D" w:rsidRDefault="00D9389D" w14:paraId="6F7F9B2A"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05 de junio 2026</w:t>
            </w:r>
          </w:p>
        </w:tc>
        <w:tc>
          <w:tcPr>
            <w:tcW w:w="5540" w:type="dxa"/>
            <w:tcMar/>
            <w:vAlign w:val="center"/>
            <w:hideMark/>
          </w:tcPr>
          <w:p w:rsidRPr="00D9389D" w:rsidR="00D9389D" w:rsidP="00D9389D" w:rsidRDefault="00D9389D" w14:paraId="0D70814A"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En el espacio y deliberación del tema de diálogo No. 2, tras el diálogo y el análisis conjunto con las comunidades y las entidades presentes, el municipio de Floridablanca acordó que deben existir unos lineamientos para la reconversión y/o sustitución de actividades agropecuarias y mineras para garantizar la mayor protección del páramo reconociendo la necesidad de realizar acciones bajo impacto establecido por la resolución 1294 de 2021 y 0249 de 2022, Así mismo indico estar de acuerdo con resolución 40279 de 2022 del Ministerio de Minas y Energía. (Lineamientos de programas de sustitución de actividades mineras y reconversión o reubicación laboral de los pequeños mineros tradicionales, ubicados en ecosistemas de páramos delimitado) y Resolución 1468 de 2021 del Ministerio de Ambiente y Desarrollo Sostenible (Lineamientos ambientales programa de sustitución que involucra el cierre, desmantelamiento, restauración y reconformación de las áreas intervenidas por minería y el programa de reconversión o reubicación laboral)</w:t>
            </w:r>
          </w:p>
        </w:tc>
        <w:tc>
          <w:tcPr>
            <w:tcW w:w="2636" w:type="dxa"/>
            <w:tcMar/>
            <w:vAlign w:val="center"/>
            <w:hideMark/>
          </w:tcPr>
          <w:p w:rsidRPr="00D9389D" w:rsidR="00D9389D" w:rsidP="00D9389D" w:rsidRDefault="00D9389D" w14:paraId="301C9E12"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Se concertó conforme a los lineamientos de la resolución 1294 de 2021 y 0249 de 2022.</w:t>
            </w:r>
          </w:p>
        </w:tc>
      </w:tr>
      <w:tr w:rsidRPr="00D9389D" w:rsidR="00D9389D" w:rsidTr="3D8C40D4" w14:paraId="3FD20A01" w14:textId="77777777">
        <w:trPr>
          <w:trHeight w:val="1380"/>
        </w:trPr>
        <w:tc>
          <w:tcPr>
            <w:tcW w:w="704" w:type="dxa"/>
            <w:noWrap/>
            <w:tcMar/>
            <w:vAlign w:val="center"/>
            <w:hideMark/>
          </w:tcPr>
          <w:p w:rsidRPr="00D9389D" w:rsidR="00D9389D" w:rsidP="00D9389D" w:rsidRDefault="00D9389D" w14:paraId="036B95AC"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25</w:t>
            </w:r>
          </w:p>
        </w:tc>
        <w:tc>
          <w:tcPr>
            <w:tcW w:w="1276" w:type="dxa"/>
            <w:tcMar/>
            <w:vAlign w:val="center"/>
            <w:hideMark/>
          </w:tcPr>
          <w:p w:rsidRPr="00D9389D" w:rsidR="00D9389D" w:rsidP="00D9389D" w:rsidRDefault="00D9389D" w14:paraId="51598741" w14:textId="77777777">
            <w:pPr>
              <w:spacing w:after="0" w:line="240" w:lineRule="auto"/>
              <w:rPr>
                <w:rFonts w:ascii="Verdana" w:hAnsi="Verdana" w:eastAsia="Times New Roman" w:cs="Calibri"/>
                <w:b/>
                <w:bCs/>
                <w:color w:val="000000"/>
                <w:sz w:val="16"/>
                <w:szCs w:val="16"/>
                <w:lang w:eastAsia="es-CO"/>
              </w:rPr>
            </w:pPr>
            <w:proofErr w:type="spellStart"/>
            <w:r w:rsidRPr="00D9389D">
              <w:rPr>
                <w:rFonts w:ascii="Verdana" w:hAnsi="Verdana" w:eastAsia="Times New Roman" w:cs="Calibri"/>
                <w:b/>
                <w:bCs/>
                <w:color w:val="000000"/>
                <w:sz w:val="16"/>
                <w:szCs w:val="16"/>
                <w:lang w:eastAsia="es-CO"/>
              </w:rPr>
              <w:t>Labateca</w:t>
            </w:r>
            <w:proofErr w:type="spellEnd"/>
            <w:r w:rsidRPr="00D9389D">
              <w:rPr>
                <w:rFonts w:ascii="Verdana" w:hAnsi="Verdana" w:eastAsia="Times New Roman" w:cs="Calibri"/>
                <w:b/>
                <w:bCs/>
                <w:color w:val="000000"/>
                <w:sz w:val="16"/>
                <w:szCs w:val="16"/>
                <w:lang w:eastAsia="es-CO"/>
              </w:rPr>
              <w:t xml:space="preserve"> (NS)</w:t>
            </w:r>
          </w:p>
        </w:tc>
        <w:tc>
          <w:tcPr>
            <w:tcW w:w="1120" w:type="dxa"/>
            <w:tcMar/>
            <w:vAlign w:val="center"/>
            <w:hideMark/>
          </w:tcPr>
          <w:p w:rsidRPr="00D9389D" w:rsidR="00D9389D" w:rsidP="00D9389D" w:rsidRDefault="00D9389D" w14:paraId="72A6A30D"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Institución Educativa La Balsa Vereda La Balsa </w:t>
            </w:r>
            <w:proofErr w:type="spellStart"/>
            <w:r w:rsidRPr="00D9389D">
              <w:rPr>
                <w:rFonts w:ascii="Verdana" w:hAnsi="Verdana" w:eastAsia="Times New Roman" w:cs="Calibri"/>
                <w:color w:val="000000"/>
                <w:sz w:val="16"/>
                <w:szCs w:val="16"/>
                <w:lang w:eastAsia="es-CO"/>
              </w:rPr>
              <w:t>Labateca</w:t>
            </w:r>
            <w:proofErr w:type="spellEnd"/>
          </w:p>
        </w:tc>
        <w:tc>
          <w:tcPr>
            <w:tcW w:w="1431" w:type="dxa"/>
            <w:tcMar/>
            <w:vAlign w:val="center"/>
            <w:hideMark/>
          </w:tcPr>
          <w:p w:rsidRPr="00D9389D" w:rsidR="00D9389D" w:rsidP="00D9389D" w:rsidRDefault="00D9389D" w14:paraId="7DCA0CC6"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28 de octubre de 2025</w:t>
            </w:r>
          </w:p>
        </w:tc>
        <w:tc>
          <w:tcPr>
            <w:tcW w:w="5540" w:type="dxa"/>
            <w:tcMar/>
            <w:vAlign w:val="center"/>
            <w:hideMark/>
          </w:tcPr>
          <w:p w:rsidRPr="00D9389D" w:rsidR="00D9389D" w:rsidP="00D9389D" w:rsidRDefault="00D9389D" w14:paraId="4B590D3A"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Sin acuerdos</w:t>
            </w:r>
          </w:p>
        </w:tc>
        <w:tc>
          <w:tcPr>
            <w:tcW w:w="2636" w:type="dxa"/>
            <w:tcMar/>
            <w:vAlign w:val="center"/>
            <w:hideMark/>
          </w:tcPr>
          <w:p w:rsidRPr="00D9389D" w:rsidR="00D9389D" w:rsidP="00D9389D" w:rsidRDefault="00D9389D" w14:paraId="325D494E" w14:textId="29704C66">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w:t>
            </w:r>
            <w:r>
              <w:rPr>
                <w:rFonts w:ascii="Verdana" w:hAnsi="Verdana" w:eastAsia="Times New Roman" w:cs="Calibri"/>
                <w:color w:val="000000"/>
                <w:sz w:val="16"/>
                <w:szCs w:val="16"/>
                <w:lang w:eastAsia="es-CO"/>
              </w:rPr>
              <w:t>N/A</w:t>
            </w:r>
          </w:p>
        </w:tc>
      </w:tr>
      <w:tr w:rsidRPr="00D9389D" w:rsidR="00D9389D" w:rsidTr="3D8C40D4" w14:paraId="4F7C66B7" w14:textId="77777777">
        <w:trPr>
          <w:trHeight w:val="1380"/>
        </w:trPr>
        <w:tc>
          <w:tcPr>
            <w:tcW w:w="704" w:type="dxa"/>
            <w:noWrap/>
            <w:tcMar/>
            <w:vAlign w:val="center"/>
            <w:hideMark/>
          </w:tcPr>
          <w:p w:rsidRPr="00D9389D" w:rsidR="00D9389D" w:rsidP="00D9389D" w:rsidRDefault="00D9389D" w14:paraId="77D6ABF1"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26</w:t>
            </w:r>
          </w:p>
        </w:tc>
        <w:tc>
          <w:tcPr>
            <w:tcW w:w="1276" w:type="dxa"/>
            <w:noWrap/>
            <w:tcMar/>
            <w:vAlign w:val="center"/>
            <w:hideMark/>
          </w:tcPr>
          <w:p w:rsidRPr="00D9389D" w:rsidR="00D9389D" w:rsidP="00D9389D" w:rsidRDefault="00D9389D" w14:paraId="018F25C1"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Guaca (S)</w:t>
            </w:r>
          </w:p>
        </w:tc>
        <w:tc>
          <w:tcPr>
            <w:tcW w:w="1120" w:type="dxa"/>
            <w:tcMar/>
            <w:vAlign w:val="center"/>
            <w:hideMark/>
          </w:tcPr>
          <w:p w:rsidRPr="00D9389D" w:rsidR="00D9389D" w:rsidP="00D9389D" w:rsidRDefault="00D9389D" w14:paraId="6BA8117C"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Instalaciones del Salón Comunal de la vereda Mata de Lata, e</w:t>
            </w:r>
          </w:p>
        </w:tc>
        <w:tc>
          <w:tcPr>
            <w:tcW w:w="1431" w:type="dxa"/>
            <w:tcMar/>
            <w:vAlign w:val="center"/>
            <w:hideMark/>
          </w:tcPr>
          <w:p w:rsidRPr="00D9389D" w:rsidR="00D9389D" w:rsidP="00D9389D" w:rsidRDefault="00D9389D" w14:paraId="29B3C0FA"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03 de mayo de 2023</w:t>
            </w:r>
          </w:p>
        </w:tc>
        <w:tc>
          <w:tcPr>
            <w:tcW w:w="5540" w:type="dxa"/>
            <w:noWrap/>
            <w:tcMar/>
            <w:vAlign w:val="center"/>
            <w:hideMark/>
          </w:tcPr>
          <w:p w:rsidRPr="00D9389D" w:rsidR="00D9389D" w:rsidP="00D9389D" w:rsidRDefault="00D9389D" w14:paraId="6FFF10A8"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Sin acuerdos</w:t>
            </w:r>
          </w:p>
        </w:tc>
        <w:tc>
          <w:tcPr>
            <w:tcW w:w="2636" w:type="dxa"/>
            <w:noWrap/>
            <w:tcMar/>
            <w:vAlign w:val="center"/>
            <w:hideMark/>
          </w:tcPr>
          <w:p w:rsidRPr="00D9389D" w:rsidR="00D9389D" w:rsidP="00D9389D" w:rsidRDefault="00D9389D" w14:paraId="272EF511" w14:textId="423A7CB9">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w:t>
            </w:r>
            <w:r>
              <w:rPr>
                <w:rFonts w:ascii="Verdana" w:hAnsi="Verdana" w:eastAsia="Times New Roman" w:cs="Calibri"/>
                <w:color w:val="000000"/>
                <w:sz w:val="16"/>
                <w:szCs w:val="16"/>
                <w:lang w:eastAsia="es-CO"/>
              </w:rPr>
              <w:t>N/A</w:t>
            </w:r>
            <w:r w:rsidRPr="00D9389D">
              <w:rPr>
                <w:rFonts w:ascii="Verdana" w:hAnsi="Verdana" w:eastAsia="Times New Roman" w:cs="Calibri"/>
                <w:color w:val="000000"/>
                <w:sz w:val="16"/>
                <w:szCs w:val="16"/>
                <w:lang w:eastAsia="es-CO"/>
              </w:rPr>
              <w:t> </w:t>
            </w:r>
          </w:p>
        </w:tc>
      </w:tr>
      <w:tr w:rsidRPr="00D9389D" w:rsidR="00D9389D" w:rsidTr="3D8C40D4" w14:paraId="43510069" w14:textId="77777777">
        <w:trPr>
          <w:trHeight w:val="552"/>
        </w:trPr>
        <w:tc>
          <w:tcPr>
            <w:tcW w:w="704" w:type="dxa"/>
            <w:noWrap/>
            <w:tcMar/>
            <w:vAlign w:val="center"/>
            <w:hideMark/>
          </w:tcPr>
          <w:p w:rsidRPr="00D9389D" w:rsidR="00D9389D" w:rsidP="00D9389D" w:rsidRDefault="00D9389D" w14:paraId="727D56A4"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27</w:t>
            </w:r>
          </w:p>
        </w:tc>
        <w:tc>
          <w:tcPr>
            <w:tcW w:w="1276" w:type="dxa"/>
            <w:noWrap/>
            <w:tcMar/>
            <w:vAlign w:val="center"/>
            <w:hideMark/>
          </w:tcPr>
          <w:p w:rsidRPr="00D9389D" w:rsidR="00D9389D" w:rsidP="00D9389D" w:rsidRDefault="00D9389D" w14:paraId="4D71BB74" w14:textId="77777777">
            <w:pPr>
              <w:spacing w:after="0" w:line="240" w:lineRule="auto"/>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Santa Bárbara (S)</w:t>
            </w:r>
          </w:p>
        </w:tc>
        <w:tc>
          <w:tcPr>
            <w:tcW w:w="1120" w:type="dxa"/>
            <w:tcMar/>
            <w:vAlign w:val="center"/>
            <w:hideMark/>
          </w:tcPr>
          <w:p w:rsidRPr="00D9389D" w:rsidR="00D9389D" w:rsidP="00D9389D" w:rsidRDefault="00D9389D" w14:paraId="1F311DF2"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Escuela rural Volcanes</w:t>
            </w:r>
          </w:p>
        </w:tc>
        <w:tc>
          <w:tcPr>
            <w:tcW w:w="1431" w:type="dxa"/>
            <w:tcMar/>
            <w:vAlign w:val="center"/>
            <w:hideMark/>
          </w:tcPr>
          <w:p w:rsidRPr="00D9389D" w:rsidR="00D9389D" w:rsidP="00D9389D" w:rsidRDefault="00D9389D" w14:paraId="3A56875C"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19 de abril de 2023</w:t>
            </w:r>
          </w:p>
        </w:tc>
        <w:tc>
          <w:tcPr>
            <w:tcW w:w="5540" w:type="dxa"/>
            <w:noWrap/>
            <w:tcMar/>
            <w:vAlign w:val="center"/>
            <w:hideMark/>
          </w:tcPr>
          <w:p w:rsidRPr="00D9389D" w:rsidR="00D9389D" w:rsidP="00D9389D" w:rsidRDefault="00D9389D" w14:paraId="2493A1FA"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Sin acuerdos</w:t>
            </w:r>
          </w:p>
        </w:tc>
        <w:tc>
          <w:tcPr>
            <w:tcW w:w="2636" w:type="dxa"/>
            <w:noWrap/>
            <w:tcMar/>
            <w:vAlign w:val="center"/>
            <w:hideMark/>
          </w:tcPr>
          <w:p w:rsidRPr="00D9389D" w:rsidR="00D9389D" w:rsidP="00D9389D" w:rsidRDefault="00D9389D" w14:paraId="4EB9A738" w14:textId="58CFA184">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w:t>
            </w:r>
            <w:r>
              <w:rPr>
                <w:rFonts w:ascii="Verdana" w:hAnsi="Verdana" w:eastAsia="Times New Roman" w:cs="Calibri"/>
                <w:color w:val="000000"/>
                <w:sz w:val="16"/>
                <w:szCs w:val="16"/>
                <w:lang w:eastAsia="es-CO"/>
              </w:rPr>
              <w:t>N/A</w:t>
            </w:r>
            <w:r w:rsidRPr="00D9389D">
              <w:rPr>
                <w:rFonts w:ascii="Verdana" w:hAnsi="Verdana" w:eastAsia="Times New Roman" w:cs="Calibri"/>
                <w:color w:val="000000"/>
                <w:sz w:val="16"/>
                <w:szCs w:val="16"/>
                <w:lang w:eastAsia="es-CO"/>
              </w:rPr>
              <w:t> </w:t>
            </w:r>
          </w:p>
        </w:tc>
      </w:tr>
      <w:tr w:rsidRPr="00D9389D" w:rsidR="00D9389D" w:rsidTr="3D8C40D4" w14:paraId="5B04356C" w14:textId="77777777">
        <w:trPr>
          <w:trHeight w:val="1380"/>
        </w:trPr>
        <w:tc>
          <w:tcPr>
            <w:tcW w:w="704" w:type="dxa"/>
            <w:noWrap/>
            <w:tcMar/>
            <w:vAlign w:val="center"/>
            <w:hideMark/>
          </w:tcPr>
          <w:p w:rsidRPr="00D9389D" w:rsidR="00D9389D" w:rsidP="00D9389D" w:rsidRDefault="00D9389D" w14:paraId="158999A8" w14:textId="77777777">
            <w:pPr>
              <w:spacing w:after="0" w:line="240" w:lineRule="auto"/>
              <w:jc w:val="center"/>
              <w:rPr>
                <w:rFonts w:ascii="Verdana" w:hAnsi="Verdana" w:eastAsia="Times New Roman" w:cs="Calibri"/>
                <w:b/>
                <w:bCs/>
                <w:color w:val="000000"/>
                <w:sz w:val="16"/>
                <w:szCs w:val="16"/>
                <w:lang w:eastAsia="es-CO"/>
              </w:rPr>
            </w:pPr>
            <w:r w:rsidRPr="00D9389D">
              <w:rPr>
                <w:rFonts w:ascii="Verdana" w:hAnsi="Verdana" w:eastAsia="Times New Roman" w:cs="Calibri"/>
                <w:b/>
                <w:bCs/>
                <w:color w:val="000000"/>
                <w:sz w:val="16"/>
                <w:szCs w:val="16"/>
                <w:lang w:eastAsia="es-CO"/>
              </w:rPr>
              <w:t>28</w:t>
            </w:r>
          </w:p>
        </w:tc>
        <w:tc>
          <w:tcPr>
            <w:tcW w:w="1276" w:type="dxa"/>
            <w:noWrap/>
            <w:tcMar/>
            <w:vAlign w:val="center"/>
            <w:hideMark/>
          </w:tcPr>
          <w:p w:rsidRPr="00D9389D" w:rsidR="00D9389D" w:rsidP="00D9389D" w:rsidRDefault="00D9389D" w14:paraId="5AD88FE1" w14:textId="77777777">
            <w:pPr>
              <w:spacing w:after="0" w:line="240" w:lineRule="auto"/>
              <w:rPr>
                <w:rFonts w:ascii="Verdana" w:hAnsi="Verdana" w:eastAsia="Times New Roman" w:cs="Calibri"/>
                <w:b/>
                <w:bCs/>
                <w:color w:val="000000"/>
                <w:sz w:val="16"/>
                <w:szCs w:val="16"/>
                <w:lang w:eastAsia="es-CO"/>
              </w:rPr>
            </w:pPr>
            <w:proofErr w:type="spellStart"/>
            <w:r w:rsidRPr="00D9389D">
              <w:rPr>
                <w:rFonts w:ascii="Verdana" w:hAnsi="Verdana" w:eastAsia="Times New Roman" w:cs="Calibri"/>
                <w:b/>
                <w:bCs/>
                <w:color w:val="000000"/>
                <w:sz w:val="16"/>
                <w:szCs w:val="16"/>
                <w:lang w:eastAsia="es-CO"/>
              </w:rPr>
              <w:t>Cácota</w:t>
            </w:r>
            <w:proofErr w:type="spellEnd"/>
            <w:r w:rsidRPr="00D9389D">
              <w:rPr>
                <w:rFonts w:ascii="Verdana" w:hAnsi="Verdana" w:eastAsia="Times New Roman" w:cs="Calibri"/>
                <w:b/>
                <w:bCs/>
                <w:color w:val="000000"/>
                <w:sz w:val="16"/>
                <w:szCs w:val="16"/>
                <w:lang w:eastAsia="es-CO"/>
              </w:rPr>
              <w:t xml:space="preserve"> (NS)</w:t>
            </w:r>
          </w:p>
        </w:tc>
        <w:tc>
          <w:tcPr>
            <w:tcW w:w="1120" w:type="dxa"/>
            <w:tcMar/>
            <w:vAlign w:val="center"/>
            <w:hideMark/>
          </w:tcPr>
          <w:p w:rsidRPr="00D9389D" w:rsidR="00D9389D" w:rsidP="00D9389D" w:rsidRDefault="00D9389D" w14:paraId="4114A060"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xml:space="preserve">Centro de Integración </w:t>
            </w:r>
            <w:proofErr w:type="gramStart"/>
            <w:r w:rsidRPr="00D9389D">
              <w:rPr>
                <w:rFonts w:ascii="Verdana" w:hAnsi="Verdana" w:eastAsia="Times New Roman" w:cs="Calibri"/>
                <w:color w:val="000000"/>
                <w:sz w:val="16"/>
                <w:szCs w:val="16"/>
                <w:lang w:eastAsia="es-CO"/>
              </w:rPr>
              <w:t>Ciudadana  de</w:t>
            </w:r>
            <w:proofErr w:type="gramEnd"/>
            <w:r w:rsidRPr="00D9389D">
              <w:rPr>
                <w:rFonts w:ascii="Verdana" w:hAnsi="Verdana" w:eastAsia="Times New Roman" w:cs="Calibri"/>
                <w:color w:val="000000"/>
                <w:sz w:val="16"/>
                <w:szCs w:val="16"/>
                <w:lang w:eastAsia="es-CO"/>
              </w:rPr>
              <w:t xml:space="preserve"> la Alcaldía de </w:t>
            </w:r>
            <w:proofErr w:type="spellStart"/>
            <w:r w:rsidRPr="00D9389D">
              <w:rPr>
                <w:rFonts w:ascii="Verdana" w:hAnsi="Verdana" w:eastAsia="Times New Roman" w:cs="Calibri"/>
                <w:color w:val="000000"/>
                <w:sz w:val="16"/>
                <w:szCs w:val="16"/>
                <w:lang w:eastAsia="es-CO"/>
              </w:rPr>
              <w:t>Cácota</w:t>
            </w:r>
            <w:proofErr w:type="spellEnd"/>
          </w:p>
        </w:tc>
        <w:tc>
          <w:tcPr>
            <w:tcW w:w="1431" w:type="dxa"/>
            <w:tcMar/>
            <w:vAlign w:val="center"/>
            <w:hideMark/>
          </w:tcPr>
          <w:p w:rsidRPr="00D9389D" w:rsidR="00D9389D" w:rsidP="00D9389D" w:rsidRDefault="00D9389D" w14:paraId="4F596375"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16 de mayo 2026</w:t>
            </w:r>
          </w:p>
        </w:tc>
        <w:tc>
          <w:tcPr>
            <w:tcW w:w="5540" w:type="dxa"/>
            <w:noWrap/>
            <w:tcMar/>
            <w:vAlign w:val="center"/>
            <w:hideMark/>
          </w:tcPr>
          <w:p w:rsidRPr="00D9389D" w:rsidR="00D9389D" w:rsidP="00D9389D" w:rsidRDefault="00D9389D" w14:paraId="33495E84" w14:textId="77777777">
            <w:pPr>
              <w:spacing w:after="0" w:line="240" w:lineRule="auto"/>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Sin acuerdos</w:t>
            </w:r>
          </w:p>
        </w:tc>
        <w:tc>
          <w:tcPr>
            <w:tcW w:w="2636" w:type="dxa"/>
            <w:noWrap/>
            <w:tcMar/>
            <w:vAlign w:val="center"/>
            <w:hideMark/>
          </w:tcPr>
          <w:p w:rsidRPr="00D9389D" w:rsidR="00D9389D" w:rsidP="00D9389D" w:rsidRDefault="00D9389D" w14:paraId="20BBADB8" w14:textId="77777777">
            <w:pPr>
              <w:spacing w:after="0" w:line="240" w:lineRule="auto"/>
              <w:jc w:val="center"/>
              <w:rPr>
                <w:rFonts w:ascii="Verdana" w:hAnsi="Verdana" w:eastAsia="Times New Roman" w:cs="Calibri"/>
                <w:color w:val="000000"/>
                <w:sz w:val="16"/>
                <w:szCs w:val="16"/>
                <w:lang w:eastAsia="es-CO"/>
              </w:rPr>
            </w:pPr>
            <w:r w:rsidRPr="00D9389D">
              <w:rPr>
                <w:rFonts w:ascii="Verdana" w:hAnsi="Verdana" w:eastAsia="Times New Roman" w:cs="Calibri"/>
                <w:color w:val="000000"/>
                <w:sz w:val="16"/>
                <w:szCs w:val="16"/>
                <w:lang w:eastAsia="es-CO"/>
              </w:rPr>
              <w:t> </w:t>
            </w:r>
          </w:p>
        </w:tc>
      </w:tr>
    </w:tbl>
    <w:p w:rsidRPr="007451E9" w:rsidR="006C368C" w:rsidP="006C368C" w:rsidRDefault="006C368C" w14:paraId="3ECDAA09" w14:textId="77777777">
      <w:pPr>
        <w:jc w:val="both"/>
        <w:rPr>
          <w:rFonts w:ascii="Arial" w:hAnsi="Arial" w:eastAsia="Arial" w:cs="Arial"/>
          <w:b/>
          <w:bCs/>
        </w:rPr>
      </w:pPr>
    </w:p>
    <w:p w:rsidR="006C368C" w:rsidP="006C368C" w:rsidRDefault="006C368C" w14:paraId="7300E54C" w14:textId="77777777">
      <w:pPr>
        <w:jc w:val="both"/>
        <w:rPr>
          <w:rFonts w:ascii="Verdana" w:hAnsi="Verdana" w:eastAsia="Verdana" w:cs="Verdana"/>
        </w:rPr>
      </w:pPr>
    </w:p>
    <w:p w:rsidR="3433DD88" w:rsidP="3433DD88" w:rsidRDefault="3433DD88" w14:paraId="60EB8178" w14:textId="647A126F">
      <w:pPr>
        <w:jc w:val="both"/>
        <w:rPr>
          <w:rFonts w:ascii="Verdana" w:hAnsi="Verdana" w:eastAsia="Verdana" w:cs="Verdana"/>
        </w:rPr>
      </w:pPr>
    </w:p>
    <w:p w:rsidR="3433DD88" w:rsidP="3433DD88" w:rsidRDefault="3433DD88" w14:paraId="4D16F11B" w14:textId="3160D353">
      <w:pPr>
        <w:jc w:val="both"/>
        <w:rPr>
          <w:rFonts w:ascii="Verdana" w:hAnsi="Verdana" w:eastAsia="Verdana" w:cs="Verdana"/>
        </w:rPr>
      </w:pPr>
    </w:p>
    <w:p w:rsidR="3433DD88" w:rsidP="3433DD88" w:rsidRDefault="3433DD88" w14:paraId="5E71369E" w14:textId="2A29E13B">
      <w:pPr>
        <w:jc w:val="both"/>
        <w:rPr>
          <w:rFonts w:ascii="Verdana" w:hAnsi="Verdana" w:eastAsia="Verdana" w:cs="Verdana"/>
        </w:rPr>
      </w:pPr>
    </w:p>
    <w:p w:rsidR="3433DD88" w:rsidP="3433DD88" w:rsidRDefault="3433DD88" w14:paraId="57268EB9" w14:textId="34CE1182">
      <w:pPr>
        <w:jc w:val="both"/>
        <w:rPr>
          <w:rFonts w:ascii="Verdana" w:hAnsi="Verdana" w:eastAsia="Verdana" w:cs="Verdana"/>
        </w:rPr>
      </w:pPr>
    </w:p>
    <w:p w:rsidR="3433DD88" w:rsidP="3433DD88" w:rsidRDefault="3433DD88" w14:paraId="460615D6" w14:textId="74E759BE">
      <w:pPr>
        <w:jc w:val="both"/>
        <w:rPr>
          <w:rFonts w:ascii="Verdana" w:hAnsi="Verdana" w:eastAsia="Verdana" w:cs="Verdana"/>
        </w:rPr>
      </w:pPr>
    </w:p>
    <w:p w:rsidR="3433DD88" w:rsidP="3433DD88" w:rsidRDefault="3433DD88" w14:paraId="53295A60" w14:textId="095DFDC6">
      <w:pPr>
        <w:jc w:val="both"/>
        <w:rPr>
          <w:rFonts w:ascii="Verdana" w:hAnsi="Verdana" w:eastAsia="Verdana" w:cs="Verdana"/>
        </w:rPr>
      </w:pPr>
    </w:p>
    <w:p w:rsidR="3433DD88" w:rsidP="3433DD88" w:rsidRDefault="3433DD88" w14:paraId="15CDD29F" w14:textId="54497D79">
      <w:pPr>
        <w:jc w:val="both"/>
        <w:rPr>
          <w:rFonts w:ascii="Verdana" w:hAnsi="Verdana" w:eastAsia="Verdana" w:cs="Verdana"/>
        </w:rPr>
      </w:pPr>
    </w:p>
    <w:p w:rsidR="3433DD88" w:rsidP="3433DD88" w:rsidRDefault="3433DD88" w14:paraId="2ECCFE3C" w14:textId="183E33D7">
      <w:pPr>
        <w:jc w:val="both"/>
        <w:rPr>
          <w:rFonts w:ascii="Verdana" w:hAnsi="Verdana" w:eastAsia="Verdana" w:cs="Verdana"/>
        </w:rPr>
      </w:pPr>
    </w:p>
    <w:p w:rsidR="3433DD88" w:rsidP="3433DD88" w:rsidRDefault="3433DD88" w14:paraId="557D26F4" w14:textId="3B53D621">
      <w:pPr>
        <w:pStyle w:val="Normal"/>
        <w:jc w:val="both"/>
        <w:rPr>
          <w:rFonts w:ascii="Verdana" w:hAnsi="Verdana" w:eastAsia="Verdana" w:cs="Verdana"/>
        </w:rPr>
      </w:pPr>
    </w:p>
    <w:p w:rsidR="3433DD88" w:rsidP="3433DD88" w:rsidRDefault="3433DD88" w14:paraId="57527599" w14:textId="7F57AB4B">
      <w:pPr>
        <w:jc w:val="both"/>
        <w:rPr>
          <w:rFonts w:ascii="Verdana" w:hAnsi="Verdana" w:eastAsia="Verdana" w:cs="Verdana"/>
        </w:rPr>
        <w:sectPr w:rsidR="006C368C" w:rsidSect="006C368C">
          <w:pgSz w:w="15840" w:h="12240" w:orient="landscape"/>
          <w:pgMar w:top="1701" w:right="2126" w:bottom="1701" w:left="1418" w:header="709" w:footer="709" w:gutter="0"/>
          <w:pgNumType w:start="1"/>
          <w:cols w:space="708"/>
          <w:docGrid w:linePitch="360"/>
          <w:headerReference w:type="first" r:id="Rfa8865a7573d4e12"/>
          <w:footerReference w:type="first" r:id="Rb3f486ac8faa4a31"/>
        </w:sectPr>
      </w:pPr>
    </w:p>
    <w:p w:rsidRPr="006318B2" w:rsidR="006C368C" w:rsidP="006C368C" w:rsidRDefault="006C368C" w14:paraId="04698023" w14:textId="77777777">
      <w:pPr>
        <w:spacing w:after="160" w:line="259" w:lineRule="auto"/>
        <w:jc w:val="both"/>
        <w:rPr>
          <w:rFonts w:ascii="Verdana" w:hAnsi="Verdana" w:eastAsia="Verdana" w:cs="Verdana"/>
        </w:rPr>
      </w:pPr>
      <w:r w:rsidRPr="006318B2">
        <w:rPr>
          <w:rFonts w:ascii="Verdana" w:hAnsi="Verdana" w:eastAsia="Verdana" w:cs="Verdana"/>
        </w:rPr>
        <w:t>Los lineamientos para la reconversión productiva de las actividades agropecuarias en el Complejo de Páramos Jurisdicciones–Santurbán–Berlín constituyen el resultado de un proceso participativo amplio, desarrollado en el marco de la delimitación participativa de este ecosistema, en cumplimiento de lo dispuesto por la Sentencia T-361 de 2017 de la Corte Constitucional. Su construcción respondió a un ejercicio de diálogo permanente entre las comunidades campesinas, las entidades del Estado y los demás actores del territorio, consolidándose inicialmente durante la fase de consulta e iniciativa, en la cual se identificaron las principales necesidades, expectativas y propuestas de los habitantes del páramo frente a la permanencia de las actividades agropecuarias y las alternativas para su transformación. Posteriormente, estos lineamientos fueron objeto de análisis, ajuste, validación y acuerdo durante la fase de concertación, convirtiéndose en uno de los principales consensos alcanzados entre las instituciones y las comunidades.</w:t>
      </w:r>
    </w:p>
    <w:p w:rsidRPr="006318B2" w:rsidR="006C368C" w:rsidP="006C368C" w:rsidRDefault="006C368C" w14:paraId="5E656500" w14:textId="77777777">
      <w:pPr>
        <w:spacing w:after="160" w:line="259" w:lineRule="auto"/>
        <w:jc w:val="both"/>
        <w:rPr>
          <w:rFonts w:ascii="Verdana" w:hAnsi="Verdana" w:eastAsia="Verdana" w:cs="Verdana"/>
        </w:rPr>
      </w:pPr>
      <w:r w:rsidRPr="006318B2">
        <w:rPr>
          <w:rFonts w:ascii="Verdana" w:hAnsi="Verdana" w:eastAsia="Verdana" w:cs="Verdana"/>
        </w:rPr>
        <w:t>Al igual que ocurrió con otros componentes de la delimitación participativa, los lineamientos construidos para la reconversión productiva trascendieron el ámbito territorial del Complejo de Páramos Jurisdicciones–Santurbán–Berlín y se consolidaron como un referente técnico y metodológico para la formulación de la política pública nacional en materia de gestión agropecuaria en páramos. Su contenido complementó y desarrolló los principios establecidos en la Ley 1930 de 2018, particularmente aquellos relacionados con la reconversión y sustitución gradual de las actividades agropecuarias, el mejoramiento de los medios de vida de las comunidades y la conservación de los ecosistemas de páramo mediante procesos concertados.</w:t>
      </w:r>
    </w:p>
    <w:p w:rsidRPr="006318B2" w:rsidR="006C368C" w:rsidP="006C368C" w:rsidRDefault="006C368C" w14:paraId="72E0AA3B" w14:textId="77777777">
      <w:pPr>
        <w:spacing w:after="160" w:line="259" w:lineRule="auto"/>
        <w:jc w:val="both"/>
        <w:rPr>
          <w:rFonts w:ascii="Verdana" w:hAnsi="Verdana" w:eastAsia="Verdana" w:cs="Verdana"/>
        </w:rPr>
      </w:pPr>
      <w:r w:rsidRPr="006318B2">
        <w:rPr>
          <w:rFonts w:ascii="Verdana" w:hAnsi="Verdana" w:eastAsia="Verdana" w:cs="Verdana"/>
        </w:rPr>
        <w:t>Como resultado de este proceso, gran parte de los criterios, enfoques y orientaciones construidos participativamente fueron incorporados en el desarrollo reglamentario de la Ley 1930 de 2018, especialmente en la Resolución 1294 de 2021, mediante la cual se establecieron los lineamientos para el desarrollo de actividades agropecuarias de bajo impacto y ambientalmente sostenibles en páramos; en la Resolución 249 de 2022, que adoptó los lineamientos para orientar el diseño, la capacitación y la puesta en marcha de los programas, planes y proyectos de reconversión y sustitución de las actividades agropecuarias en páramos delimitados; y, más recientemente, en la Resolución 160 de 2026, que definió y adoptó la metodología para la determinación de actividades agropecuarias de bajo impacto en páramos.</w:t>
      </w:r>
    </w:p>
    <w:p w:rsidR="006C368C" w:rsidP="006C368C" w:rsidRDefault="006C368C" w14:paraId="2FEF9597" w14:textId="77777777">
      <w:pPr>
        <w:jc w:val="both"/>
        <w:rPr>
          <w:rFonts w:ascii="Verdana" w:hAnsi="Verdana" w:eastAsia="Verdana" w:cs="Verdana"/>
        </w:rPr>
      </w:pPr>
      <w:r w:rsidRPr="006318B2">
        <w:rPr>
          <w:rFonts w:ascii="Verdana" w:hAnsi="Verdana" w:eastAsia="Verdana" w:cs="Verdana"/>
        </w:rPr>
        <w:t xml:space="preserve">En este sentido, los lineamientos aquí compilados no solo reflejan los acuerdos alcanzados durante el proceso de delimitación participativa del Complejo de Páramos Jurisdicciones–Santurbán–Berlín, sino que evidencian el aporte de dicho proceso a la consolidación del marco normativo nacional para la gestión integral de los páramos y la transición hacia sistemas productivos ambientalmente sostenibles. En las siguientes secciones se presentan los lineamientos construidos en el proceso participativo y su correspondencia con las disposiciones contenidas en los principales instrumentos normativos que </w:t>
      </w:r>
      <w:r w:rsidRPr="006318B2">
        <w:rPr>
          <w:rFonts w:ascii="Verdana" w:hAnsi="Verdana" w:eastAsia="Verdana" w:cs="Verdana"/>
        </w:rPr>
        <w:t>actualmente regulan la reconversión productiva y las actividades agropecuarias en páramos</w:t>
      </w:r>
      <w:r>
        <w:rPr>
          <w:rFonts w:ascii="Verdana" w:hAnsi="Verdana" w:eastAsia="Verdana" w:cs="Verdana"/>
        </w:rPr>
        <w:t>:</w:t>
      </w:r>
    </w:p>
    <w:p w:rsidRPr="006318B2" w:rsidR="006C368C" w:rsidP="006C368C" w:rsidRDefault="006C368C" w14:paraId="154A9AF3" w14:textId="77777777">
      <w:pPr>
        <w:ind w:left="708"/>
        <w:jc w:val="both"/>
        <w:rPr>
          <w:rFonts w:ascii="Verdana" w:hAnsi="Verdana" w:eastAsia="Verdana" w:cs="Verdana"/>
        </w:rPr>
      </w:pPr>
      <w:r w:rsidRPr="006318B2">
        <w:rPr>
          <w:rFonts w:ascii="Verdana" w:hAnsi="Verdana" w:eastAsia="Verdana" w:cs="Verdana"/>
        </w:rPr>
        <w:t>1. Capacitaciones en buenas prácticas agrícolas y ganaderas (BPA y BPG), y manejo y gestión de residuos agropecuarios de acuerdo con lo establecido en la Resolución 249 de 2022.</w:t>
      </w:r>
    </w:p>
    <w:p w:rsidRPr="006318B2" w:rsidR="006C368C" w:rsidP="006C368C" w:rsidRDefault="006C368C" w14:paraId="6A270EA0" w14:textId="77777777">
      <w:pPr>
        <w:ind w:left="708"/>
        <w:jc w:val="both"/>
        <w:rPr>
          <w:rFonts w:ascii="Verdana" w:hAnsi="Verdana" w:eastAsia="Verdana" w:cs="Verdana"/>
        </w:rPr>
      </w:pPr>
      <w:r w:rsidRPr="006318B2">
        <w:rPr>
          <w:rFonts w:ascii="Verdana" w:hAnsi="Verdana" w:eastAsia="Verdana" w:cs="Verdana"/>
        </w:rPr>
        <w:t xml:space="preserve">2. Transferencia de tecnología e innovación enfocado al uso de </w:t>
      </w:r>
      <w:proofErr w:type="spellStart"/>
      <w:r w:rsidRPr="006318B2">
        <w:rPr>
          <w:rFonts w:ascii="Verdana" w:hAnsi="Verdana" w:eastAsia="Verdana" w:cs="Verdana"/>
        </w:rPr>
        <w:t>bioinsumos</w:t>
      </w:r>
      <w:proofErr w:type="spellEnd"/>
      <w:r w:rsidRPr="006318B2">
        <w:rPr>
          <w:rFonts w:ascii="Verdana" w:hAnsi="Verdana" w:eastAsia="Verdana" w:cs="Verdana"/>
        </w:rPr>
        <w:t xml:space="preserve"> y herramientas de tecnología de la comunicación de acuerdo con lo establecido en la Resolución 249 de 2022.</w:t>
      </w:r>
    </w:p>
    <w:p w:rsidRPr="006318B2" w:rsidR="006C368C" w:rsidP="006C368C" w:rsidRDefault="006C368C" w14:paraId="776912B9" w14:textId="77777777">
      <w:pPr>
        <w:ind w:left="708"/>
        <w:jc w:val="both"/>
        <w:rPr>
          <w:rFonts w:ascii="Verdana" w:hAnsi="Verdana" w:eastAsia="Verdana" w:cs="Verdana"/>
        </w:rPr>
      </w:pPr>
      <w:r w:rsidRPr="006318B2">
        <w:rPr>
          <w:rFonts w:ascii="Verdana" w:hAnsi="Verdana" w:eastAsia="Verdana" w:cs="Verdana"/>
        </w:rPr>
        <w:t>3. Extensión agropecuaria con asistencia técnica que aborde temas como aprovechamiento de residuos (Biodigestores y manejo de cultivos locales) de acuerdo con lo establecido en la Ley 1930 del 2018 y lo establecido en la Resolución 249 de 2022.</w:t>
      </w:r>
    </w:p>
    <w:p w:rsidRPr="006318B2" w:rsidR="006C368C" w:rsidP="006C368C" w:rsidRDefault="006C368C" w14:paraId="1500340D" w14:textId="77777777">
      <w:pPr>
        <w:ind w:left="708"/>
        <w:jc w:val="both"/>
        <w:rPr>
          <w:rFonts w:ascii="Verdana" w:hAnsi="Verdana" w:eastAsia="Verdana" w:cs="Verdana"/>
        </w:rPr>
      </w:pPr>
      <w:r w:rsidRPr="006318B2">
        <w:rPr>
          <w:rFonts w:ascii="Verdana" w:hAnsi="Verdana" w:eastAsia="Verdana" w:cs="Verdana"/>
        </w:rPr>
        <w:t>4. Fortalecimiento de la asociatividad en términos de la ley 1930 del 2018, así como también una agricultura familiar, campesina y comunitaria.</w:t>
      </w:r>
    </w:p>
    <w:p w:rsidRPr="006318B2" w:rsidR="006C368C" w:rsidP="006C368C" w:rsidRDefault="006C368C" w14:paraId="43D99F7A" w14:textId="77777777">
      <w:pPr>
        <w:ind w:left="708"/>
        <w:jc w:val="both"/>
        <w:rPr>
          <w:rFonts w:ascii="Verdana" w:hAnsi="Verdana" w:eastAsia="Verdana" w:cs="Verdana"/>
        </w:rPr>
      </w:pPr>
      <w:r w:rsidRPr="006318B2">
        <w:rPr>
          <w:rFonts w:ascii="Verdana" w:hAnsi="Verdana" w:eastAsia="Verdana" w:cs="Verdana"/>
        </w:rPr>
        <w:t>5. Agregación de valor a los productos derivados de la actividad agropecuaria de bajo impacto en el área de páramo, así como el desarrollo de mercados locales con enfoque diferencial para la población paramuna de acuerdo con lo establecido en la Resolución 249 de 2022.</w:t>
      </w:r>
    </w:p>
    <w:p w:rsidRPr="006318B2" w:rsidR="006C368C" w:rsidP="006C368C" w:rsidRDefault="006C368C" w14:paraId="0EC7F379" w14:textId="77777777">
      <w:pPr>
        <w:ind w:left="708"/>
        <w:jc w:val="both"/>
        <w:rPr>
          <w:rFonts w:ascii="Verdana" w:hAnsi="Verdana" w:eastAsia="Verdana" w:cs="Verdana"/>
        </w:rPr>
      </w:pPr>
      <w:r w:rsidRPr="006318B2">
        <w:rPr>
          <w:rFonts w:ascii="Verdana" w:hAnsi="Verdana" w:eastAsia="Verdana" w:cs="Verdana"/>
        </w:rPr>
        <w:t>6. Como alternativa a la sustitución agropecuaria se planteó el desarrollo de un turismo sostenible en la zona</w:t>
      </w:r>
    </w:p>
    <w:p w:rsidRPr="006318B2" w:rsidR="006C368C" w:rsidP="006C368C" w:rsidRDefault="006C368C" w14:paraId="27D42EDE" w14:textId="77777777">
      <w:pPr>
        <w:ind w:left="708"/>
        <w:jc w:val="both"/>
        <w:rPr>
          <w:rFonts w:ascii="Verdana" w:hAnsi="Verdana" w:eastAsia="Verdana" w:cs="Verdana"/>
        </w:rPr>
      </w:pPr>
      <w:r w:rsidRPr="006318B2">
        <w:rPr>
          <w:rFonts w:ascii="Verdana" w:hAnsi="Verdana" w:eastAsia="Verdana" w:cs="Verdana"/>
        </w:rPr>
        <w:t>7. En los casos en los que se requiera sustituir actividades agropecuarias, implementar estrategias de apoyo económico a las comunidades, como el pago por servicios ambientales (PSA).</w:t>
      </w:r>
    </w:p>
    <w:p w:rsidRPr="006318B2" w:rsidR="006C368C" w:rsidP="006C368C" w:rsidRDefault="006C368C" w14:paraId="1216C02F" w14:textId="77777777">
      <w:pPr>
        <w:ind w:left="708"/>
        <w:jc w:val="both"/>
        <w:rPr>
          <w:rFonts w:ascii="Verdana" w:hAnsi="Verdana" w:eastAsia="Verdana" w:cs="Verdana"/>
        </w:rPr>
      </w:pPr>
      <w:r w:rsidRPr="006318B2">
        <w:rPr>
          <w:rFonts w:ascii="Verdana" w:hAnsi="Verdana" w:eastAsia="Verdana" w:cs="Verdana"/>
        </w:rPr>
        <w:t>8. Implementación de la metodología para la determinación de las actividades agropecuarias de bajo impacto de acuerdo con lo establecido en la Resolución 1294 de 2021.</w:t>
      </w:r>
    </w:p>
    <w:p w:rsidRPr="006318B2" w:rsidR="006C368C" w:rsidP="006C368C" w:rsidRDefault="006C368C" w14:paraId="0DD79422" w14:textId="77777777">
      <w:pPr>
        <w:ind w:left="708"/>
        <w:jc w:val="both"/>
        <w:rPr>
          <w:rFonts w:ascii="Verdana" w:hAnsi="Verdana" w:eastAsia="Verdana" w:cs="Verdana"/>
        </w:rPr>
      </w:pPr>
      <w:r w:rsidRPr="006318B2">
        <w:rPr>
          <w:rFonts w:ascii="Verdana" w:hAnsi="Verdana" w:eastAsia="Verdana" w:cs="Verdana"/>
        </w:rPr>
        <w:t>9. Monitoreo y seguimiento para garantizar el desarrollo de actividades agropecuarias de bajo impacto y ambientalmente sostenibles por parte de las autoridades competentes en el ecosistema de páramo.</w:t>
      </w:r>
    </w:p>
    <w:p w:rsidRPr="006318B2" w:rsidR="006C368C" w:rsidP="006C368C" w:rsidRDefault="006C368C" w14:paraId="225A93A7" w14:textId="77777777">
      <w:pPr>
        <w:ind w:left="708"/>
        <w:jc w:val="both"/>
        <w:rPr>
          <w:rFonts w:ascii="Verdana" w:hAnsi="Verdana" w:eastAsia="Verdana" w:cs="Verdana"/>
        </w:rPr>
      </w:pPr>
      <w:r w:rsidRPr="006318B2">
        <w:rPr>
          <w:rFonts w:ascii="Verdana" w:hAnsi="Verdana" w:eastAsia="Verdana" w:cs="Verdana"/>
        </w:rPr>
        <w:t>10. Promover la compra de productos que venden los campesinos mediante el fortalecimiento de mercados campesinos.</w:t>
      </w:r>
    </w:p>
    <w:p w:rsidRPr="006318B2" w:rsidR="006C368C" w:rsidP="006C368C" w:rsidRDefault="006C368C" w14:paraId="07DF2318" w14:textId="77777777">
      <w:pPr>
        <w:ind w:left="708"/>
        <w:jc w:val="both"/>
        <w:rPr>
          <w:rFonts w:ascii="Verdana" w:hAnsi="Verdana" w:eastAsia="Verdana" w:cs="Verdana"/>
        </w:rPr>
      </w:pPr>
      <w:r w:rsidRPr="006318B2">
        <w:rPr>
          <w:rFonts w:ascii="Verdana" w:hAnsi="Verdana" w:eastAsia="Verdana" w:cs="Verdana"/>
        </w:rPr>
        <w:t>11. Mejorar las formas de producción agropecuaria en las áreas de páramo, disminuyendo la aplicación de agroquímicos y realizando prácticas de rotación de cultivos.</w:t>
      </w:r>
    </w:p>
    <w:p w:rsidRPr="006318B2" w:rsidR="006C368C" w:rsidP="006C368C" w:rsidRDefault="006C368C" w14:paraId="165216C1" w14:textId="77777777">
      <w:pPr>
        <w:ind w:left="708"/>
        <w:jc w:val="both"/>
        <w:rPr>
          <w:rFonts w:ascii="Verdana" w:hAnsi="Verdana" w:eastAsia="Verdana" w:cs="Verdana"/>
        </w:rPr>
      </w:pPr>
      <w:r w:rsidRPr="006318B2">
        <w:rPr>
          <w:rFonts w:ascii="Verdana" w:hAnsi="Verdana" w:eastAsia="Verdana" w:cs="Verdana"/>
        </w:rPr>
        <w:t>12</w:t>
      </w:r>
      <w:r>
        <w:rPr>
          <w:rFonts w:ascii="Verdana" w:hAnsi="Verdana" w:eastAsia="Verdana" w:cs="Verdana"/>
        </w:rPr>
        <w:t>.</w:t>
      </w:r>
      <w:r w:rsidRPr="006318B2">
        <w:rPr>
          <w:rFonts w:ascii="Verdana" w:hAnsi="Verdana" w:eastAsia="Verdana" w:cs="Verdana"/>
        </w:rPr>
        <w:t xml:space="preserve"> Fortalecimiento de la Agricultura Campesina, Familiar, Étnica y Comunitaria (ACFEC), a través de procesos agroecológicos </w:t>
      </w:r>
    </w:p>
    <w:p w:rsidRPr="006318B2" w:rsidR="006C368C" w:rsidP="006C368C" w:rsidRDefault="006C368C" w14:paraId="663FA514" w14:textId="77777777">
      <w:pPr>
        <w:ind w:left="708"/>
        <w:jc w:val="both"/>
        <w:rPr>
          <w:rFonts w:ascii="Verdana" w:hAnsi="Verdana" w:eastAsia="Verdana" w:cs="Verdana"/>
        </w:rPr>
      </w:pPr>
      <w:r w:rsidRPr="006318B2">
        <w:rPr>
          <w:rFonts w:ascii="Verdana" w:hAnsi="Verdana" w:eastAsia="Verdana" w:cs="Verdana"/>
        </w:rPr>
        <w:t>13. Incentivar los pagos por servicios ambientales realizados por las empresas prestadoras del servicio de acueducto.</w:t>
      </w:r>
    </w:p>
    <w:p w:rsidRPr="006318B2" w:rsidR="006C368C" w:rsidP="006C368C" w:rsidRDefault="006C368C" w14:paraId="32ACEE99" w14:textId="77777777">
      <w:pPr>
        <w:ind w:left="708"/>
        <w:jc w:val="both"/>
        <w:rPr>
          <w:rFonts w:ascii="Verdana" w:hAnsi="Verdana" w:eastAsia="Verdana" w:cs="Verdana"/>
        </w:rPr>
      </w:pPr>
      <w:r w:rsidRPr="006318B2">
        <w:rPr>
          <w:rFonts w:ascii="Verdana" w:hAnsi="Verdana" w:eastAsia="Verdana" w:cs="Verdana"/>
        </w:rPr>
        <w:t>14. Apoyo institucional a la comunidad en temas de acompañamiento y seguimiento orientados a estrategias de mitigación y conservación de las especies de fauna por actividades agropecuarias (pesca artesanal).</w:t>
      </w:r>
    </w:p>
    <w:p w:rsidRPr="006318B2" w:rsidR="006C368C" w:rsidP="006C368C" w:rsidRDefault="006C368C" w14:paraId="2F4A2080" w14:textId="77777777">
      <w:pPr>
        <w:ind w:left="708"/>
        <w:jc w:val="both"/>
        <w:rPr>
          <w:rFonts w:ascii="Verdana" w:hAnsi="Verdana" w:eastAsia="Verdana" w:cs="Verdana"/>
        </w:rPr>
      </w:pPr>
      <w:r w:rsidRPr="006318B2">
        <w:rPr>
          <w:rFonts w:ascii="Verdana" w:hAnsi="Verdana" w:eastAsia="Verdana" w:cs="Verdana"/>
        </w:rPr>
        <w:t>15. Manejo de aguas residuales y vertimientos asociaciones a la producción agropecuaria</w:t>
      </w:r>
    </w:p>
    <w:p w:rsidRPr="006318B2" w:rsidR="006C368C" w:rsidP="006C368C" w:rsidRDefault="006C368C" w14:paraId="49CD9BD3" w14:textId="77777777">
      <w:pPr>
        <w:ind w:left="708"/>
        <w:jc w:val="both"/>
        <w:rPr>
          <w:rFonts w:ascii="Verdana" w:hAnsi="Verdana" w:eastAsia="Verdana" w:cs="Verdana"/>
        </w:rPr>
      </w:pPr>
      <w:r w:rsidRPr="006318B2">
        <w:rPr>
          <w:rFonts w:ascii="Verdana" w:hAnsi="Verdana" w:eastAsia="Verdana" w:cs="Verdana"/>
        </w:rPr>
        <w:t>16. Acompañamiento y asistencia técnica a ganaderos con implementación de ganadería regenerativa.</w:t>
      </w:r>
    </w:p>
    <w:p w:rsidR="006C368C" w:rsidP="006C368C" w:rsidRDefault="006C368C" w14:paraId="6FDFD8DF" w14:textId="77777777">
      <w:pPr>
        <w:ind w:left="708"/>
        <w:jc w:val="both"/>
        <w:rPr>
          <w:rFonts w:ascii="Verdana" w:hAnsi="Verdana" w:eastAsia="Verdana" w:cs="Verdana"/>
        </w:rPr>
      </w:pPr>
      <w:r w:rsidRPr="006318B2">
        <w:rPr>
          <w:rFonts w:ascii="Verdana" w:hAnsi="Verdana" w:eastAsia="Verdana" w:cs="Verdana"/>
        </w:rPr>
        <w:t>17. Recambio y reposición de especies introducidas por especies nativas al interior del páramo de acuerdo con la resolución 1294 de 2021</w:t>
      </w:r>
    </w:p>
    <w:p w:rsidR="006C368C" w:rsidP="006C368C" w:rsidRDefault="006C368C" w14:paraId="798FE070" w14:textId="77777777">
      <w:pPr>
        <w:ind w:left="708"/>
        <w:jc w:val="both"/>
        <w:rPr>
          <w:rFonts w:ascii="Verdana" w:hAnsi="Verdana" w:eastAsia="Verdana" w:cs="Verdana"/>
        </w:rPr>
      </w:pPr>
      <w:r>
        <w:rPr>
          <w:rFonts w:ascii="Verdana" w:hAnsi="Verdana" w:eastAsia="Verdana" w:cs="Verdana"/>
        </w:rPr>
        <w:t xml:space="preserve">18. </w:t>
      </w:r>
      <w:r w:rsidRPr="00D15080">
        <w:rPr>
          <w:rFonts w:ascii="Verdana" w:hAnsi="Verdana" w:eastAsia="Verdana" w:cs="Verdana"/>
        </w:rPr>
        <w:t>La promoción del consumo de productos sostenibles certificados.</w:t>
      </w:r>
    </w:p>
    <w:p w:rsidRPr="00FB32BD" w:rsidR="006C368C" w:rsidP="006C368C" w:rsidRDefault="006C368C" w14:paraId="1FA22B97" w14:textId="77777777">
      <w:pPr>
        <w:spacing w:after="160" w:line="259" w:lineRule="auto"/>
        <w:jc w:val="both"/>
        <w:rPr>
          <w:rFonts w:ascii="Verdana" w:hAnsi="Verdana" w:eastAsia="Verdana" w:cs="Verdana"/>
        </w:rPr>
      </w:pPr>
      <w:r w:rsidRPr="00FB32BD">
        <w:rPr>
          <w:rFonts w:ascii="Verdana" w:hAnsi="Verdana" w:eastAsia="Verdana" w:cs="Verdana"/>
        </w:rPr>
        <w:t>Los lineamientos compilados en el presente documento corresponden a aquellos que fueron priorizados por las comunidades y las entidades participantes durante el proceso de diálogo desarrollado en el marco de la delimitación participativa del Complejo de Páramos Jurisdicciones–Santurbán–Berlín. En consecuencia, constituyen el resultado de los acuerdos alcanzados en las fases de consulta e iniciativa y de concertación, reflejando las principales orientaciones construidas de manera conjunta para promover la reconversión productiva de las actividades agropecuarias, la conservación del ecosistema de páramo y el fortalecimiento de los medios de vida de sus habitantes tradicionales.</w:t>
      </w:r>
    </w:p>
    <w:p w:rsidRPr="00FB32BD" w:rsidR="006C368C" w:rsidP="006C368C" w:rsidRDefault="006C368C" w14:paraId="2B6EFFEC" w14:textId="77777777">
      <w:pPr>
        <w:spacing w:after="160" w:line="259" w:lineRule="auto"/>
        <w:jc w:val="both"/>
        <w:rPr>
          <w:rFonts w:ascii="Verdana" w:hAnsi="Verdana" w:eastAsia="Verdana" w:cs="Verdana"/>
        </w:rPr>
      </w:pPr>
      <w:r w:rsidRPr="00FB32BD">
        <w:rPr>
          <w:rFonts w:ascii="Verdana" w:hAnsi="Verdana" w:eastAsia="Verdana" w:cs="Verdana"/>
        </w:rPr>
        <w:t xml:space="preserve">No obstante, es importante precisar que estos lineamientos deben entenderse como un conjunto de orientaciones priorizadas dentro del proceso participativo y, por tanto, no sustituyen ni limitan la aplicación integral del marco normativo vigente. En su implementación deberán observarse, de manera complementaria, la totalidad de los lineamientos, criterios, principios, procedimientos y demás disposiciones establecidas en la </w:t>
      </w:r>
      <w:r w:rsidRPr="00D13DCB">
        <w:rPr>
          <w:rFonts w:ascii="Verdana" w:hAnsi="Verdana" w:eastAsia="Verdana" w:cs="Verdana"/>
        </w:rPr>
        <w:t>Resolución 1294 de 2021, la Resolución 249 de 2022 y la Resolución 160 de 2026, así como</w:t>
      </w:r>
      <w:r w:rsidRPr="00FB32BD">
        <w:rPr>
          <w:rFonts w:ascii="Verdana" w:hAnsi="Verdana" w:eastAsia="Verdana" w:cs="Verdana"/>
        </w:rPr>
        <w:t xml:space="preserve"> las demás normas que regulan la gestión integral de los páramos, la reconversión y sustitución de las actividades agropecuarias, y la protección de la producción agropecuaria como parte de los </w:t>
      </w:r>
      <w:r w:rsidRPr="00FB32BD">
        <w:rPr>
          <w:rFonts w:ascii="Verdana" w:hAnsi="Verdana" w:eastAsia="Verdana" w:cs="Verdana"/>
        </w:rPr>
        <w:t>medios de vida de los habitantes tradicionales de estos ecosistemas estratégicos.</w:t>
      </w:r>
    </w:p>
    <w:p w:rsidRPr="00FB32BD" w:rsidR="006C368C" w:rsidP="006C368C" w:rsidRDefault="006C368C" w14:paraId="5C5CBFD3" w14:textId="77777777">
      <w:pPr>
        <w:spacing w:after="160" w:line="259" w:lineRule="auto"/>
        <w:jc w:val="both"/>
        <w:rPr>
          <w:rFonts w:ascii="Verdana" w:hAnsi="Verdana" w:eastAsia="Verdana" w:cs="Verdana"/>
        </w:rPr>
      </w:pPr>
      <w:r w:rsidRPr="00FB32BD">
        <w:rPr>
          <w:rFonts w:ascii="Verdana" w:hAnsi="Verdana" w:eastAsia="Verdana" w:cs="Verdana"/>
        </w:rPr>
        <w:t>En este sentido, la implementación de los procesos de reconversión productiva deberá desarrollarse bajo un enfoque integral, participativo y adaptativo, articulando los acuerdos construidos en el territorio con el marco jurídico nacional, de manera que se garantice simultáneamente la conservación de los páramos, el uso sostenible de sus recursos naturales, el mejoramiento de las condiciones de vida de las comunidades campesinas y el cumplimiento de los principios de gradualidad, participación, corresponsabilidad y desarrollo sostenible previstos en la Ley 1930 de 2018 y en su reglamentación.</w:t>
      </w:r>
    </w:p>
    <w:p w:rsidRPr="006318B2" w:rsidR="006C368C" w:rsidP="006C368C" w:rsidRDefault="006C368C" w14:paraId="6D37D93E" w14:textId="77777777">
      <w:pPr>
        <w:spacing w:after="160" w:line="259" w:lineRule="auto"/>
        <w:jc w:val="both"/>
        <w:rPr>
          <w:rFonts w:ascii="Verdana" w:hAnsi="Verdana" w:eastAsia="Verdana" w:cs="Verdana"/>
        </w:rPr>
      </w:pPr>
    </w:p>
    <w:p w:rsidRPr="00F81469" w:rsidR="00B819E1" w:rsidP="00B819E1" w:rsidRDefault="00B819E1" w14:paraId="0A7F4EDC" w14:textId="77777777">
      <w:pPr>
        <w:spacing w:after="0" w:line="240" w:lineRule="auto"/>
        <w:rPr>
          <w:rFonts w:ascii="Arial Narrow" w:hAnsi="Arial Narrow" w:eastAsia="Times New Roman" w:cs="Arial"/>
          <w:b/>
          <w:sz w:val="24"/>
          <w:szCs w:val="24"/>
          <w:lang w:eastAsia="es-ES"/>
        </w:rPr>
      </w:pPr>
    </w:p>
    <w:p w:rsidRPr="00F81469" w:rsidR="00B819E1" w:rsidP="00B819E1" w:rsidRDefault="00B819E1" w14:paraId="2FB64B2F" w14:textId="77777777">
      <w:pPr>
        <w:spacing w:after="0" w:line="240" w:lineRule="auto"/>
        <w:rPr>
          <w:rFonts w:ascii="Arial Narrow" w:hAnsi="Arial Narrow" w:eastAsia="Times New Roman" w:cs="Arial"/>
          <w:b/>
          <w:sz w:val="24"/>
          <w:szCs w:val="24"/>
          <w:lang w:eastAsia="es-ES"/>
        </w:rPr>
      </w:pPr>
    </w:p>
    <w:p w:rsidRPr="00F81469" w:rsidR="00B819E1" w:rsidP="00B819E1" w:rsidRDefault="00B819E1" w14:paraId="63465642" w14:textId="2F8EE906">
      <w:pPr>
        <w:spacing w:after="0" w:line="240" w:lineRule="auto"/>
        <w:rPr>
          <w:rFonts w:ascii="Arial Narrow" w:hAnsi="Arial Narrow" w:eastAsia="Times New Roman" w:cs="Arial"/>
          <w:b/>
          <w:sz w:val="24"/>
          <w:szCs w:val="24"/>
          <w:lang w:eastAsia="es-ES"/>
        </w:rPr>
      </w:pPr>
    </w:p>
    <w:p w:rsidRPr="00F81469" w:rsidR="00B819E1" w:rsidP="00B819E1" w:rsidRDefault="00B819E1" w14:paraId="6067623A" w14:textId="51CBE1E0">
      <w:pPr>
        <w:spacing w:after="0" w:line="240" w:lineRule="auto"/>
        <w:rPr>
          <w:rFonts w:ascii="Arial Narrow" w:hAnsi="Arial Narrow" w:eastAsia="Times New Roman" w:cs="Arial"/>
          <w:b/>
          <w:sz w:val="24"/>
          <w:szCs w:val="24"/>
          <w:lang w:eastAsia="es-ES"/>
        </w:rPr>
      </w:pPr>
    </w:p>
    <w:p w:rsidRPr="00F81469" w:rsidR="00B819E1" w:rsidP="00B819E1" w:rsidRDefault="00B819E1" w14:paraId="4BB09A84" w14:textId="77777777">
      <w:pPr>
        <w:spacing w:after="0" w:line="240" w:lineRule="auto"/>
        <w:rPr>
          <w:rFonts w:ascii="Arial Narrow" w:hAnsi="Arial Narrow" w:eastAsia="Times New Roman" w:cs="Arial"/>
          <w:b/>
          <w:sz w:val="24"/>
          <w:szCs w:val="24"/>
          <w:lang w:eastAsia="es-ES"/>
        </w:rPr>
      </w:pPr>
    </w:p>
    <w:p w:rsidRPr="00F81469" w:rsidR="00B819E1" w:rsidP="00B819E1" w:rsidRDefault="00B819E1" w14:paraId="0507103F" w14:textId="77777777">
      <w:pPr>
        <w:spacing w:after="0" w:line="240" w:lineRule="auto"/>
        <w:rPr>
          <w:rFonts w:ascii="Arial Narrow" w:hAnsi="Arial Narrow" w:eastAsia="Times New Roman" w:cs="Arial"/>
          <w:b/>
          <w:sz w:val="24"/>
          <w:szCs w:val="24"/>
          <w:lang w:eastAsia="es-ES"/>
        </w:rPr>
      </w:pPr>
    </w:p>
    <w:p w:rsidRPr="00F81469" w:rsidR="00B819E1" w:rsidP="00B819E1" w:rsidRDefault="00B819E1" w14:paraId="562C9632" w14:textId="77777777">
      <w:pPr>
        <w:spacing w:after="0" w:line="240" w:lineRule="auto"/>
        <w:rPr>
          <w:rFonts w:ascii="Arial Narrow" w:hAnsi="Arial Narrow" w:eastAsia="Times New Roman" w:cs="Arial"/>
          <w:b/>
          <w:sz w:val="24"/>
          <w:szCs w:val="24"/>
          <w:lang w:eastAsia="es-ES"/>
        </w:rPr>
      </w:pPr>
    </w:p>
    <w:p w:rsidRPr="00F81469" w:rsidR="00B819E1" w:rsidP="00B819E1" w:rsidRDefault="00B819E1" w14:paraId="760CA157" w14:textId="77777777">
      <w:pPr>
        <w:spacing w:after="0" w:line="240" w:lineRule="auto"/>
        <w:rPr>
          <w:rFonts w:ascii="Arial Narrow" w:hAnsi="Arial Narrow" w:eastAsia="Times New Roman" w:cs="Arial"/>
          <w:b/>
          <w:sz w:val="24"/>
          <w:szCs w:val="24"/>
          <w:lang w:eastAsia="es-ES"/>
        </w:rPr>
      </w:pPr>
    </w:p>
    <w:p w:rsidRPr="00F81469" w:rsidR="00B819E1" w:rsidP="00B819E1" w:rsidRDefault="00B819E1" w14:paraId="71995222" w14:textId="77777777">
      <w:pPr>
        <w:spacing w:after="0" w:line="240" w:lineRule="auto"/>
        <w:rPr>
          <w:rFonts w:ascii="Arial Narrow" w:hAnsi="Arial Narrow" w:eastAsia="Times New Roman" w:cs="Arial"/>
          <w:b/>
          <w:sz w:val="24"/>
          <w:szCs w:val="24"/>
          <w:lang w:eastAsia="es-ES"/>
        </w:rPr>
      </w:pPr>
    </w:p>
    <w:p w:rsidRPr="00F81469" w:rsidR="008A6F91" w:rsidP="00B819E1" w:rsidRDefault="008A6F91" w14:paraId="59399EC3" w14:textId="77777777">
      <w:pPr>
        <w:spacing w:after="0" w:line="240" w:lineRule="auto"/>
        <w:rPr>
          <w:rFonts w:ascii="Arial Narrow" w:hAnsi="Arial Narrow" w:eastAsia="Times New Roman" w:cs="Arial"/>
          <w:bCs/>
          <w:sz w:val="24"/>
          <w:szCs w:val="24"/>
          <w:lang w:eastAsia="es-ES"/>
        </w:rPr>
      </w:pPr>
    </w:p>
    <w:p w:rsidRPr="00F81469" w:rsidR="00F81469" w:rsidP="00B819E1" w:rsidRDefault="00F81469" w14:paraId="1C59FED6" w14:textId="598856D6">
      <w:pPr>
        <w:spacing w:after="0" w:line="240" w:lineRule="auto"/>
        <w:rPr>
          <w:rFonts w:ascii="Arial Narrow" w:hAnsi="Arial Narrow" w:eastAsia="Times New Roman" w:cs="Arial"/>
          <w:bCs/>
          <w:sz w:val="24"/>
          <w:szCs w:val="24"/>
          <w:lang w:eastAsia="es-ES"/>
        </w:rPr>
      </w:pPr>
    </w:p>
    <w:p w:rsidRPr="00F81469" w:rsidR="0030050E" w:rsidP="00B819E1" w:rsidRDefault="0030050E" w14:paraId="48A448BA"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0DEFB16A"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2B40B050"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26C26AFC"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0AF37ED1"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609650E7"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05E1F242"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46500484"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12DAF11A"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272B8574"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0A95012D"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64587F57"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2C8A08AC"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0A4C7F4C"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5604BB90"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1EF0BB61"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0979D7FC"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45AB9649"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45F845AE"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76094157"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4F2A481F"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22DC6862"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380E2776" w14:textId="77777777">
      <w:pPr>
        <w:spacing w:after="0" w:line="240" w:lineRule="auto"/>
        <w:rPr>
          <w:rFonts w:ascii="Arial Narrow" w:hAnsi="Arial Narrow" w:eastAsia="Times New Roman" w:cs="Arial"/>
          <w:bCs/>
          <w:sz w:val="24"/>
          <w:szCs w:val="24"/>
          <w:lang w:eastAsia="es-ES"/>
        </w:rPr>
      </w:pPr>
    </w:p>
    <w:p w:rsidR="0030050E" w:rsidP="00B819E1" w:rsidRDefault="0030050E" w14:paraId="08B3A255" w14:textId="77777777">
      <w:pPr>
        <w:spacing w:after="0" w:line="240" w:lineRule="auto"/>
        <w:rPr>
          <w:rFonts w:ascii="Arial Narrow" w:hAnsi="Arial Narrow" w:eastAsia="Times New Roman" w:cs="Arial"/>
          <w:bCs/>
          <w:sz w:val="24"/>
          <w:szCs w:val="24"/>
          <w:lang w:eastAsia="es-ES"/>
        </w:rPr>
      </w:pPr>
    </w:p>
    <w:p w:rsidR="00B633C9" w:rsidP="00B819E1" w:rsidRDefault="00B633C9" w14:paraId="3CD52074" w14:textId="77777777">
      <w:pPr>
        <w:spacing w:after="0" w:line="240" w:lineRule="auto"/>
        <w:rPr>
          <w:rFonts w:ascii="Arial Narrow" w:hAnsi="Arial Narrow" w:eastAsia="Times New Roman" w:cs="Arial"/>
          <w:bCs/>
          <w:sz w:val="24"/>
          <w:szCs w:val="24"/>
          <w:lang w:eastAsia="es-ES"/>
        </w:rPr>
      </w:pPr>
    </w:p>
    <w:p w:rsidR="00B633C9" w:rsidP="00B819E1" w:rsidRDefault="00B633C9" w14:paraId="6BB29733" w14:textId="77777777">
      <w:pPr>
        <w:spacing w:after="0" w:line="240" w:lineRule="auto"/>
        <w:rPr>
          <w:rFonts w:ascii="Arial Narrow" w:hAnsi="Arial Narrow" w:eastAsia="Times New Roman" w:cs="Arial"/>
          <w:bCs/>
          <w:sz w:val="24"/>
          <w:szCs w:val="24"/>
          <w:lang w:eastAsia="es-ES"/>
        </w:rPr>
      </w:pPr>
    </w:p>
    <w:p w:rsidR="00B633C9" w:rsidP="00B819E1" w:rsidRDefault="00B633C9" w14:paraId="13F337D7" w14:textId="77777777">
      <w:pPr>
        <w:spacing w:after="0" w:line="240" w:lineRule="auto"/>
        <w:rPr>
          <w:rFonts w:ascii="Arial Narrow" w:hAnsi="Arial Narrow" w:eastAsia="Times New Roman" w:cs="Arial"/>
          <w:bCs/>
          <w:sz w:val="24"/>
          <w:szCs w:val="24"/>
          <w:lang w:eastAsia="es-ES"/>
        </w:rPr>
      </w:pPr>
    </w:p>
    <w:p w:rsidR="00B633C9" w:rsidP="00B819E1" w:rsidRDefault="00B633C9" w14:paraId="66CB209A" w14:textId="77777777">
      <w:pPr>
        <w:spacing w:after="0" w:line="240" w:lineRule="auto"/>
        <w:rPr>
          <w:rFonts w:ascii="Arial Narrow" w:hAnsi="Arial Narrow" w:eastAsia="Times New Roman" w:cs="Arial"/>
          <w:bCs/>
          <w:sz w:val="24"/>
          <w:szCs w:val="24"/>
          <w:lang w:eastAsia="es-ES"/>
        </w:rPr>
      </w:pPr>
    </w:p>
    <w:p w:rsidR="00B633C9" w:rsidP="00B819E1" w:rsidRDefault="00B633C9" w14:paraId="5C1A004E" w14:textId="77777777">
      <w:pPr>
        <w:spacing w:after="0" w:line="240" w:lineRule="auto"/>
        <w:rPr>
          <w:rFonts w:ascii="Arial Narrow" w:hAnsi="Arial Narrow" w:eastAsia="Times New Roman" w:cs="Arial"/>
          <w:bCs/>
          <w:sz w:val="24"/>
          <w:szCs w:val="24"/>
          <w:lang w:eastAsia="es-ES"/>
        </w:rPr>
      </w:pPr>
    </w:p>
    <w:p w:rsidR="00B633C9" w:rsidP="00B819E1" w:rsidRDefault="00B633C9" w14:paraId="1D6A496A" w14:textId="77777777">
      <w:pPr>
        <w:spacing w:after="0" w:line="240" w:lineRule="auto"/>
        <w:rPr>
          <w:rFonts w:ascii="Arial Narrow" w:hAnsi="Arial Narrow" w:eastAsia="Times New Roman" w:cs="Arial"/>
          <w:bCs/>
          <w:sz w:val="24"/>
          <w:szCs w:val="24"/>
          <w:lang w:eastAsia="es-ES"/>
        </w:rPr>
      </w:pPr>
    </w:p>
    <w:p w:rsidR="00B633C9" w:rsidP="00B819E1" w:rsidRDefault="00B633C9" w14:paraId="3B867626" w14:textId="77777777">
      <w:pPr>
        <w:spacing w:after="0" w:line="240" w:lineRule="auto"/>
        <w:rPr>
          <w:rFonts w:ascii="Arial Narrow" w:hAnsi="Arial Narrow" w:eastAsia="Times New Roman" w:cs="Arial"/>
          <w:bCs/>
          <w:sz w:val="24"/>
          <w:szCs w:val="24"/>
          <w:lang w:eastAsia="es-ES"/>
        </w:rPr>
      </w:pPr>
    </w:p>
    <w:p w:rsidRPr="00F81469" w:rsidR="00B633C9" w:rsidP="00B819E1" w:rsidRDefault="00B633C9" w14:paraId="3C1AFD4A" w14:textId="77777777">
      <w:pPr>
        <w:spacing w:after="0" w:line="240" w:lineRule="auto"/>
        <w:rPr>
          <w:rFonts w:ascii="Arial Narrow" w:hAnsi="Arial Narrow" w:eastAsia="Times New Roman" w:cs="Arial"/>
          <w:bCs/>
          <w:sz w:val="24"/>
          <w:szCs w:val="24"/>
          <w:lang w:eastAsia="es-ES"/>
        </w:rPr>
      </w:pPr>
    </w:p>
    <w:p w:rsidRPr="00F81469" w:rsidR="0030050E" w:rsidP="00B819E1" w:rsidRDefault="0030050E" w14:paraId="4ADA00CA" w14:textId="77777777">
      <w:pPr>
        <w:spacing w:after="0" w:line="240" w:lineRule="auto"/>
        <w:rPr>
          <w:rFonts w:ascii="Arial Narrow" w:hAnsi="Arial Narrow" w:eastAsia="Times New Roman" w:cs="Arial"/>
          <w:bCs/>
          <w:sz w:val="24"/>
          <w:szCs w:val="24"/>
          <w:lang w:eastAsia="es-ES"/>
        </w:rPr>
      </w:pPr>
    </w:p>
    <w:sectPr w:rsidRPr="00F81469" w:rsidR="0030050E" w:rsidSect="00B633C9">
      <w:headerReference w:type="default" r:id="rId14"/>
      <w:footerReference w:type="even" r:id="rId15"/>
      <w:footerReference w:type="default" r:id="rId16"/>
      <w:pgSz w:w="12240" w:h="15840" w:orient="portrait"/>
      <w:pgMar w:top="1417" w:right="1701" w:bottom="1417" w:left="1701" w:header="708" w:footer="360" w:gutter="0"/>
      <w:cols w:space="708"/>
      <w:titlePg/>
      <w:docGrid w:linePitch="360"/>
      <w:headerReference w:type="first" r:id="Re77ae9ef2eca418c"/>
      <w:footerReference w:type="first" r:id="R1f7c658751be4c6f"/>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2312E" w:rsidP="0003659E" w:rsidRDefault="0042312E" w14:paraId="461CC9D8" w14:textId="77777777">
      <w:pPr>
        <w:spacing w:after="0" w:line="240" w:lineRule="auto"/>
      </w:pPr>
      <w:r>
        <w:separator/>
      </w:r>
    </w:p>
  </w:endnote>
  <w:endnote w:type="continuationSeparator" w:id="0">
    <w:p w:rsidR="0042312E" w:rsidP="0003659E" w:rsidRDefault="0042312E" w14:paraId="75D785B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rsidRPr="003A3319" w:rsidR="006C368C" w:rsidP="0022254F" w:rsidRDefault="006C368C" w14:paraId="5FC4FF0B" w14:textId="77777777">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69504" behindDoc="0" locked="0" layoutInCell="1" allowOverlap="1" wp14:anchorId="29EBABB4" wp14:editId="5126F42D">
                  <wp:simplePos x="0" y="0"/>
                  <wp:positionH relativeFrom="margin">
                    <wp:posOffset>-51435</wp:posOffset>
                  </wp:positionH>
                  <wp:positionV relativeFrom="paragraph">
                    <wp:posOffset>-206374</wp:posOffset>
                  </wp:positionV>
                  <wp:extent cx="5457825" cy="819150"/>
                  <wp:effectExtent l="0" t="0" r="0" b="0"/>
                  <wp:wrapNone/>
                  <wp:docPr id="18868087" name="Cuadro de texto 1"/>
                  <wp:cNvGraphicFramePr/>
                  <a:graphic xmlns:a="http://schemas.openxmlformats.org/drawingml/2006/main">
                    <a:graphicData uri="http://schemas.microsoft.com/office/word/2010/wordprocessingShape">
                      <wps:wsp>
                        <wps:cNvSpPr txBox="1"/>
                        <wps:spPr>
                          <a:xfrm>
                            <a:off x="0" y="0"/>
                            <a:ext cx="5457825" cy="819150"/>
                          </a:xfrm>
                          <a:prstGeom prst="rect">
                            <a:avLst/>
                          </a:prstGeom>
                          <a:noFill/>
                          <a:ln w="6350">
                            <a:noFill/>
                          </a:ln>
                        </wps:spPr>
                        <wps:txbx>
                          <w:txbxContent>
                            <w:p w:rsidRPr="00256928" w:rsidR="006C368C" w:rsidP="00D34D20" w:rsidRDefault="006C368C" w14:paraId="09A78EFB" w14:textId="77777777">
                              <w:pPr>
                                <w:spacing w:after="0"/>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6C368C" w:rsidP="00D34D20" w:rsidRDefault="006C368C" w14:paraId="7C24F57E" w14:textId="77777777">
                              <w:pPr>
                                <w:spacing w:after="0"/>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6C368C" w:rsidP="00D34D20" w:rsidRDefault="006C368C" w14:paraId="30EAD976" w14:textId="77777777">
                              <w:pPr>
                                <w:spacing w:after="0"/>
                                <w:jc w:val="both"/>
                                <w:rPr>
                                  <w:rFonts w:ascii="Verdana" w:hAnsi="Verdana"/>
                                  <w:sz w:val="18"/>
                                  <w:szCs w:val="18"/>
                                </w:rPr>
                              </w:pPr>
                              <w:r w:rsidRPr="003A3319">
                                <w:rPr>
                                  <w:rFonts w:ascii="Verdana" w:hAnsi="Verdana"/>
                                  <w:sz w:val="18"/>
                                  <w:szCs w:val="18"/>
                                </w:rPr>
                                <w:t xml:space="preserve">Dirección: Calle 37 #8 - 40, Bogotá D.C., Colombia </w:t>
                              </w:r>
                            </w:p>
                            <w:p w:rsidR="006C368C" w:rsidP="00256928" w:rsidRDefault="006C368C" w14:paraId="3CA552EB" w14:textId="77777777">
                              <w:pPr>
                                <w:spacing w:after="0"/>
                                <w:jc w:val="both"/>
                                <w:rPr>
                                  <w:rFonts w:ascii="Verdana" w:hAnsi="Verdana"/>
                                  <w:sz w:val="18"/>
                                  <w:szCs w:val="18"/>
                                </w:rPr>
                              </w:pPr>
                              <w:hyperlink w:history="1" r:id="rId1">
                                <w:r w:rsidRPr="00216298">
                                  <w:rPr>
                                    <w:rStyle w:val="Hipervnculo"/>
                                    <w:rFonts w:ascii="Verdana" w:hAnsi="Verdana"/>
                                    <w:sz w:val="18"/>
                                    <w:szCs w:val="18"/>
                                  </w:rPr>
                                  <w:t>www.minambiente.gov.co</w:t>
                                </w:r>
                              </w:hyperlink>
                            </w:p>
                            <w:p w:rsidRPr="003A3319" w:rsidR="006C368C" w:rsidP="00256928" w:rsidRDefault="006C368C" w14:paraId="2D6ACD0D" w14:textId="77777777">
                              <w:pPr>
                                <w:spacing w:after="0"/>
                                <w:jc w:val="both"/>
                                <w:rPr>
                                  <w:rFonts w:ascii="Verdana" w:hAnsi="Verdan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A8B67AD">
                <v:shapetype id="_x0000_t202" coordsize="21600,21600" o:spt="202" path="m,l,21600r21600,l21600,xe" w14:anchorId="29EBABB4">
                  <v:stroke joinstyle="miter"/>
                  <v:path gradientshapeok="t" o:connecttype="rect"/>
                </v:shapetype>
                <v:shape id="Cuadro de texto 1" style="position:absolute;left:0;text-align:left;margin-left:-4.05pt;margin-top:-16.25pt;width:429.75pt;height:64.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8"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">
                  <v:textbox>
                    <w:txbxContent>
                      <w:p w:rsidRPr="00256928" w:rsidR="006C368C" w:rsidP="00D34D20" w:rsidRDefault="006C368C" w14:paraId="342BE111" w14:textId="77777777">
                        <w:pPr>
                          <w:spacing w:after="0"/>
                          <w:jc w:val="both"/>
                          <w:rPr>
                            <w:rFonts w:ascii="Helvetica" w:hAnsi="Helvetica"/>
                            <w:sz w:val="20"/>
                            <w:szCs w:val="20"/>
                          </w:rPr>
                        </w:pPr>
                        <w:r w:rsidRPr="00256928">
                          <w:rPr>
                            <w:rFonts w:ascii="Helvetica" w:hAnsi="Helvetica"/>
                            <w:sz w:val="20"/>
                            <w:szCs w:val="20"/>
                          </w:rPr>
                          <w:t>________________________________________________________________________</w:t>
                        </w:r>
                      </w:p>
                      <w:p w:rsidRPr="003A3319" w:rsidR="006C368C" w:rsidP="00D34D20" w:rsidRDefault="006C368C" w14:paraId="485BAFCA" w14:textId="77777777">
                        <w:pPr>
                          <w:spacing w:after="0"/>
                          <w:jc w:val="both"/>
                          <w:rPr>
                            <w:rFonts w:ascii="Verdana" w:hAnsi="Verdana"/>
                            <w:b/>
                            <w:bCs/>
                            <w:sz w:val="18"/>
                            <w:szCs w:val="18"/>
                          </w:rPr>
                        </w:pPr>
                        <w:r w:rsidRPr="003A3319">
                          <w:rPr>
                            <w:rFonts w:ascii="Verdana" w:hAnsi="Verdana"/>
                            <w:b/>
                            <w:bCs/>
                            <w:sz w:val="18"/>
                            <w:szCs w:val="18"/>
                          </w:rPr>
                          <w:t>Ministerio de Ambiente y Desarrollo Sostenible</w:t>
                        </w:r>
                      </w:p>
                      <w:p w:rsidRPr="003A3319" w:rsidR="006C368C" w:rsidP="00D34D20" w:rsidRDefault="006C368C" w14:paraId="4C5F11BA" w14:textId="77777777">
                        <w:pPr>
                          <w:spacing w:after="0"/>
                          <w:jc w:val="both"/>
                          <w:rPr>
                            <w:rFonts w:ascii="Verdana" w:hAnsi="Verdana"/>
                            <w:sz w:val="18"/>
                            <w:szCs w:val="18"/>
                          </w:rPr>
                        </w:pPr>
                        <w:r w:rsidRPr="003A3319">
                          <w:rPr>
                            <w:rFonts w:ascii="Verdana" w:hAnsi="Verdana"/>
                            <w:sz w:val="18"/>
                            <w:szCs w:val="18"/>
                          </w:rPr>
                          <w:t xml:space="preserve">Dirección: Calle 37 #8 - 40, Bogotá D.C., Colombia </w:t>
                        </w:r>
                      </w:p>
                      <w:p w:rsidR="006C368C" w:rsidP="00256928" w:rsidRDefault="006C368C" w14:paraId="4B21E3C3" w14:textId="77777777">
                        <w:pPr>
                          <w:spacing w:after="0"/>
                          <w:jc w:val="both"/>
                          <w:rPr>
                            <w:rFonts w:ascii="Verdana" w:hAnsi="Verdana"/>
                            <w:sz w:val="18"/>
                            <w:szCs w:val="18"/>
                          </w:rPr>
                        </w:pPr>
                        <w:hyperlink w:history="1" r:id="rId2">
                          <w:r w:rsidRPr="00216298">
                            <w:rPr>
                              <w:rStyle w:val="Hipervnculo"/>
                              <w:rFonts w:ascii="Verdana" w:hAnsi="Verdana"/>
                              <w:sz w:val="18"/>
                              <w:szCs w:val="18"/>
                            </w:rPr>
                            <w:t>www.minambiente.gov.co</w:t>
                          </w:r>
                        </w:hyperlink>
                      </w:p>
                      <w:p w:rsidRPr="003A3319" w:rsidR="006C368C" w:rsidP="00256928" w:rsidRDefault="006C368C" w14:paraId="5DAB6C7B" w14:textId="77777777">
                        <w:pPr>
                          <w:spacing w:after="0"/>
                          <w:jc w:val="both"/>
                          <w:rPr>
                            <w:rFonts w:ascii="Verdana" w:hAnsi="Verdana"/>
                            <w:sz w:val="18"/>
                            <w:szCs w:val="18"/>
                          </w:rPr>
                        </w:pPr>
                      </w:p>
                    </w:txbxContent>
                  </v:textbox>
                  <w10:wrap anchorx="margin"/>
                </v:shape>
              </w:pict>
            </mc:Fallback>
          </mc:AlternateContent>
        </w:r>
        <w:r w:rsidRPr="003A3319">
          <w:rPr>
            <w:rFonts w:ascii="Verdana" w:hAnsi="Verdana"/>
            <w:color w:val="000000"/>
            <w:sz w:val="18"/>
            <w:szCs w:val="18"/>
          </w:rPr>
          <w:t xml:space="preserve">Página </w:t>
        </w:r>
        <w:r w:rsidRPr="003A3319">
          <w:rPr>
            <w:rFonts w:ascii="Verdana" w:hAnsi="Verdana"/>
            <w:color w:val="000000"/>
            <w:sz w:val="18"/>
            <w:szCs w:val="18"/>
          </w:rPr>
          <w:fldChar w:fldCharType="begin"/>
        </w:r>
        <w:r w:rsidRPr="003A3319">
          <w:rPr>
            <w:rFonts w:ascii="Verdana" w:hAnsi="Verdana"/>
            <w:color w:val="000000"/>
            <w:sz w:val="18"/>
            <w:szCs w:val="18"/>
          </w:rPr>
          <w:instrText>PAGE   \* MERGEFORMAT</w:instrText>
        </w:r>
        <w:r w:rsidRPr="003A3319">
          <w:rPr>
            <w:rFonts w:ascii="Verdana" w:hAnsi="Verdana"/>
            <w:color w:val="000000"/>
            <w:sz w:val="18"/>
            <w:szCs w:val="18"/>
          </w:rPr>
          <w:fldChar w:fldCharType="separate"/>
        </w:r>
        <w:r w:rsidRPr="003A3319">
          <w:rPr>
            <w:rFonts w:ascii="Verdana" w:hAnsi="Verdana"/>
            <w:color w:val="000000"/>
            <w:sz w:val="18"/>
            <w:szCs w:val="18"/>
          </w:rPr>
          <w:t>2</w:t>
        </w:r>
        <w:r w:rsidRPr="003A3319">
          <w:rPr>
            <w:rFonts w:ascii="Verdana" w:hAnsi="Verdana"/>
            <w:color w:val="000000"/>
            <w:sz w:val="18"/>
            <w:szCs w:val="18"/>
          </w:rPr>
          <w:fldChar w:fldCharType="end"/>
        </w:r>
        <w:r w:rsidRPr="003A3319">
          <w:rPr>
            <w:rFonts w:ascii="Verdana" w:hAnsi="Verdana"/>
            <w:color w:val="000000"/>
            <w:sz w:val="18"/>
            <w:szCs w:val="18"/>
          </w:rPr>
          <w:t xml:space="preserve"> | </w:t>
        </w:r>
        <w:r w:rsidRPr="003A3319">
          <w:rPr>
            <w:rFonts w:ascii="Verdana" w:hAnsi="Verdana"/>
            <w:color w:val="000000"/>
            <w:sz w:val="18"/>
            <w:szCs w:val="18"/>
          </w:rPr>
          <w:fldChar w:fldCharType="begin"/>
        </w:r>
        <w:r w:rsidRPr="003A3319">
          <w:rPr>
            <w:rFonts w:ascii="Verdana" w:hAnsi="Verdana"/>
            <w:color w:val="000000"/>
            <w:sz w:val="18"/>
            <w:szCs w:val="18"/>
          </w:rPr>
          <w:instrText>NUMPAGES  \* Arabic  \* MERGEFORMAT</w:instrText>
        </w:r>
        <w:r w:rsidRPr="003A3319">
          <w:rPr>
            <w:rFonts w:ascii="Verdana" w:hAnsi="Verdana"/>
            <w:color w:val="000000"/>
            <w:sz w:val="18"/>
            <w:szCs w:val="18"/>
          </w:rPr>
          <w:fldChar w:fldCharType="separate"/>
        </w:r>
        <w:r w:rsidRPr="003A3319">
          <w:rPr>
            <w:rFonts w:ascii="Verdana" w:hAnsi="Verdana"/>
            <w:color w:val="000000"/>
            <w:sz w:val="18"/>
            <w:szCs w:val="18"/>
          </w:rPr>
          <w:t>2</w:t>
        </w:r>
        <w:r w:rsidRPr="003A3319">
          <w:rPr>
            <w:rFonts w:ascii="Verdana" w:hAnsi="Verdana"/>
            <w:color w:val="000000"/>
            <w:sz w:val="18"/>
            <w:szCs w:val="18"/>
          </w:rPr>
          <w:fldChar w:fldCharType="end"/>
        </w:r>
      </w:p>
      <w:p w:rsidRPr="003A3319" w:rsidR="006C368C" w:rsidP="0022254F" w:rsidRDefault="006C368C" w14:paraId="237928D5" w14:textId="77777777">
        <w:pPr>
          <w:pStyle w:val="Piedepgina"/>
          <w:jc w:val="right"/>
          <w:rPr>
            <w:rFonts w:ascii="Verdana" w:hAnsi="Verdana"/>
            <w:color w:val="000000"/>
            <w:sz w:val="18"/>
            <w:szCs w:val="18"/>
          </w:rPr>
        </w:pPr>
      </w:p>
    </w:sdtContent>
  </w:sdt>
  <w:p w:rsidRPr="003A3319" w:rsidR="006C368C" w:rsidP="00EA4BE4" w:rsidRDefault="006C368C" w14:paraId="7A203311" w14:textId="77777777">
    <w:pPr>
      <w:pStyle w:val="Piedepgina"/>
      <w:jc w:val="right"/>
      <w:rPr>
        <w:rFonts w:ascii="Verdana" w:hAnsi="Verdana"/>
        <w:sz w:val="18"/>
        <w:szCs w:val="18"/>
      </w:rPr>
    </w:pPr>
    <w:r w:rsidRPr="003A3319">
      <w:rPr>
        <w:rFonts w:ascii="Verdana" w:hAnsi="Verdana"/>
        <w:sz w:val="18"/>
        <w:szCs w:val="18"/>
      </w:rPr>
      <w:t>F-E-SIG-26:</w:t>
    </w:r>
    <w:r>
      <w:rPr>
        <w:rFonts w:ascii="Verdana" w:hAnsi="Verdana"/>
        <w:sz w:val="18"/>
        <w:szCs w:val="18"/>
      </w:rPr>
      <w:t xml:space="preserve"> </w:t>
    </w:r>
    <w:r w:rsidRPr="003A3319">
      <w:rPr>
        <w:rFonts w:ascii="Verdana" w:hAnsi="Verdana"/>
        <w:sz w:val="18"/>
        <w:szCs w:val="18"/>
      </w:rPr>
      <w:t>V</w:t>
    </w:r>
    <w:r>
      <w:rPr>
        <w:rFonts w:ascii="Verdana" w:hAnsi="Verdana"/>
        <w:sz w:val="18"/>
        <w:szCs w:val="18"/>
      </w:rPr>
      <w:t>8</w:t>
    </w:r>
    <w:r w:rsidRPr="003A3319">
      <w:rPr>
        <w:rFonts w:ascii="Verdana" w:hAnsi="Verdana"/>
        <w:sz w:val="18"/>
        <w:szCs w:val="18"/>
      </w:rPr>
      <w:t xml:space="preserve"> </w:t>
    </w:r>
    <w:r>
      <w:rPr>
        <w:rFonts w:ascii="Verdana" w:hAnsi="Verdana"/>
        <w:sz w:val="18"/>
        <w:szCs w:val="18"/>
      </w:rPr>
      <w:t>22-06-</w:t>
    </w:r>
    <w:r w:rsidRPr="003A3319">
      <w:rPr>
        <w:rFonts w:ascii="Verdana" w:hAnsi="Verdana"/>
        <w:sz w:val="18"/>
        <w:szCs w:val="18"/>
      </w:rPr>
      <w:t>202</w:t>
    </w:r>
    <w:r>
      <w:rPr>
        <w:rFonts w:ascii="Verdana" w:hAnsi="Verdana"/>
        <w:sz w:val="18"/>
        <w:szCs w:val="18"/>
      </w:rPr>
      <w:t>6</w:t>
    </w:r>
  </w:p>
  <w:p w:rsidRPr="00D34D20" w:rsidR="006C368C" w:rsidP="00D34D20" w:rsidRDefault="006C368C" w14:paraId="4053FC27" w14:textId="77777777">
    <w:pPr>
      <w:spacing w:after="0"/>
      <w:jc w:val="both"/>
      <w:rPr>
        <w:rFonts w:ascii="Helvetica" w:hAnsi="Helvetic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26978486"/>
      <w:docPartObj>
        <w:docPartGallery w:val="Page Numbers (Bottom of Page)"/>
        <w:docPartUnique/>
      </w:docPartObj>
    </w:sdtPr>
    <w:sdtContent>
      <w:p w:rsidR="00946A8B" w:rsidP="00ED2982" w:rsidRDefault="00946A8B" w14:paraId="73F8BCF2" w14:textId="3DD3C6ED">
        <w:pPr>
          <w:pStyle w:val="Piedepgina"/>
          <w:framePr w:wrap="none" w:hAnchor="margin" w:vAnchor="text"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EndPr>
      <w:rPr>
        <w:rStyle w:val="Nmerodepgina"/>
      </w:rPr>
    </w:sdtEndPr>
  </w:sdt>
  <w:p w:rsidR="00946A8B" w:rsidP="002A4DCB" w:rsidRDefault="00946A8B" w14:paraId="15BC0C67" w14:textId="77777777">
    <w:pPr>
      <w:pStyle w:val="Piedepgin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946A8B" w:rsidP="00ED2982" w:rsidRDefault="00946A8B" w14:paraId="2BA56DC0" w14:textId="7E5420E3">
    <w:pPr>
      <w:pStyle w:val="Piedepgina"/>
      <w:framePr w:wrap="none" w:hAnchor="margin" w:vAnchor="text" w:xAlign="right" w:y="1"/>
      <w:rPr>
        <w:rStyle w:val="Nmerodepgina"/>
      </w:rPr>
    </w:pPr>
  </w:p>
  <w:bookmarkStart w:name="_Hlk173416803" w:displacedByCustomXml="next" w:id="10"/>
  <w:sdt>
    <w:sdtPr>
      <w:rPr>
        <w:lang w:val="es-ES"/>
      </w:rPr>
      <w:id w:val="-1372608851"/>
      <w:docPartObj>
        <w:docPartGallery w:val="Page Numbers (Bottom of Page)"/>
        <w:docPartUnique/>
      </w:docPartObj>
    </w:sdtPr>
    <w:sdtEndPr>
      <w:rPr>
        <w:rFonts w:ascii="Verdana" w:hAnsi="Verdana"/>
        <w:sz w:val="18"/>
        <w:szCs w:val="18"/>
        <w:lang w:val="es-ES"/>
      </w:rPr>
    </w:sdtEndPr>
    <w:sdtContent>
      <w:sdt>
        <w:sdtPr>
          <w:rPr>
            <w:lang w:val="es-ES"/>
          </w:rPr>
          <w:id w:val="-1850100376"/>
          <w:docPartObj>
            <w:docPartGallery w:val="Page Numbers (Bottom of Page)"/>
            <w:docPartUnique/>
          </w:docPartObj>
        </w:sdtPr>
        <w:sdtEndPr>
          <w:rPr>
            <w:rFonts w:ascii="Verdana" w:hAnsi="Verdana"/>
            <w:sz w:val="18"/>
            <w:szCs w:val="18"/>
            <w:lang w:val="es-ES"/>
          </w:rPr>
        </w:sdtEndPr>
        <w:sdtContent>
          <w:p w:rsidRPr="00325C9F" w:rsidR="00B633C9" w:rsidP="00B633C9" w:rsidRDefault="00B633C9" w14:paraId="14467210" w14:textId="77777777">
            <w:pPr>
              <w:pStyle w:val="Piedepgina"/>
              <w:jc w:val="right"/>
              <w:rPr>
                <w:rFonts w:ascii="Verdana" w:hAnsi="Verdana"/>
                <w:color w:val="000000"/>
                <w:sz w:val="18"/>
                <w:szCs w:val="18"/>
              </w:rPr>
            </w:pPr>
            <w:r w:rsidRPr="00325C9F">
              <w:rPr>
                <w:rFonts w:ascii="Verdana" w:hAnsi="Verdana"/>
                <w:noProof/>
                <w:sz w:val="18"/>
                <w:szCs w:val="18"/>
                <w:lang w:val="en-US"/>
              </w:rPr>
              <mc:AlternateContent>
                <mc:Choice Requires="wps">
                  <w:drawing>
                    <wp:anchor distT="0" distB="0" distL="114300" distR="114300" simplePos="0" relativeHeight="251666432" behindDoc="0" locked="0" layoutInCell="1" allowOverlap="1" wp14:anchorId="4E61BB67" wp14:editId="11C30528">
                      <wp:simplePos x="0" y="0"/>
                      <wp:positionH relativeFrom="margin">
                        <wp:posOffset>186690</wp:posOffset>
                      </wp:positionH>
                      <wp:positionV relativeFrom="paragraph">
                        <wp:posOffset>-254000</wp:posOffset>
                      </wp:positionV>
                      <wp:extent cx="5457825" cy="7620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5457825" cy="762000"/>
                              </a:xfrm>
                              <a:prstGeom prst="rect">
                                <a:avLst/>
                              </a:prstGeom>
                              <a:noFill/>
                              <a:ln w="6350">
                                <a:noFill/>
                              </a:ln>
                            </wps:spPr>
                            <wps:txbx>
                              <w:txbxContent>
                                <w:p w:rsidRPr="00256928" w:rsidR="00B633C9" w:rsidP="004C6151" w:rsidRDefault="00B633C9" w14:paraId="54DAE8D6" w14:textId="77777777">
                                  <w:pPr>
                                    <w:spacing w:after="0"/>
                                    <w:rPr>
                                      <w:rFonts w:ascii="Helvetica" w:hAnsi="Helvetica"/>
                                      <w:sz w:val="20"/>
                                      <w:szCs w:val="20"/>
                                    </w:rPr>
                                  </w:pPr>
                                  <w:r w:rsidRPr="00256928">
                                    <w:rPr>
                                      <w:rFonts w:ascii="Helvetica" w:hAnsi="Helvetica"/>
                                      <w:sz w:val="20"/>
                                      <w:szCs w:val="20"/>
                                    </w:rPr>
                                    <w:t>________________________________________________________________________</w:t>
                                  </w:r>
                                </w:p>
                                <w:p w:rsidRPr="00325C9F" w:rsidR="00B633C9" w:rsidP="004C6151" w:rsidRDefault="00B633C9" w14:paraId="6D234CD4" w14:textId="77777777">
                                  <w:pPr>
                                    <w:spacing w:after="0"/>
                                    <w:rPr>
                                      <w:rFonts w:ascii="Verdana" w:hAnsi="Verdana"/>
                                      <w:b/>
                                      <w:bCs/>
                                      <w:sz w:val="18"/>
                                      <w:szCs w:val="18"/>
                                    </w:rPr>
                                  </w:pPr>
                                  <w:r w:rsidRPr="00325C9F">
                                    <w:rPr>
                                      <w:rFonts w:ascii="Verdana" w:hAnsi="Verdana"/>
                                      <w:b/>
                                      <w:bCs/>
                                      <w:sz w:val="18"/>
                                      <w:szCs w:val="18"/>
                                    </w:rPr>
                                    <w:t>Ministerio de Ambiente y Desarrollo Sostenible</w:t>
                                  </w:r>
                                </w:p>
                                <w:p w:rsidRPr="00325C9F" w:rsidR="00B633C9" w:rsidP="004C6151" w:rsidRDefault="00B633C9" w14:paraId="7E476137" w14:textId="6D54AE80">
                                  <w:pPr>
                                    <w:spacing w:after="0"/>
                                    <w:rPr>
                                      <w:rFonts w:ascii="Verdana" w:hAnsi="Verdana"/>
                                      <w:sz w:val="18"/>
                                      <w:szCs w:val="18"/>
                                    </w:rPr>
                                  </w:pPr>
                                  <w:r w:rsidRPr="00325C9F">
                                    <w:rPr>
                                      <w:rFonts w:ascii="Verdana" w:hAnsi="Verdana"/>
                                      <w:sz w:val="18"/>
                                      <w:szCs w:val="18"/>
                                    </w:rPr>
                                    <w:t>Dirección: Calle 37 #8 - 40, Bogotá D.C., Colombia</w:t>
                                  </w:r>
                                </w:p>
                                <w:p w:rsidR="00B633C9" w:rsidP="004C6151" w:rsidRDefault="004C6151" w14:paraId="4F7119CA" w14:textId="1805D95C">
                                  <w:pPr>
                                    <w:spacing w:after="0"/>
                                    <w:rPr>
                                      <w:rFonts w:ascii="Verdana" w:hAnsi="Verdana"/>
                                      <w:sz w:val="18"/>
                                      <w:szCs w:val="18"/>
                                    </w:rPr>
                                  </w:pPr>
                                  <w:hyperlink w:history="1" r:id="rId1">
                                    <w:r w:rsidRPr="00345633">
                                      <w:rPr>
                                        <w:rStyle w:val="Hipervnculo"/>
                                        <w:rFonts w:ascii="Verdana" w:hAnsi="Verdana"/>
                                        <w:sz w:val="18"/>
                                        <w:szCs w:val="18"/>
                                      </w:rPr>
                                      <w:t>www.minambiente.gov.co</w:t>
                                    </w:r>
                                  </w:hyperlink>
                                </w:p>
                                <w:p w:rsidRPr="00325C9F" w:rsidR="004C6151" w:rsidP="004C6151" w:rsidRDefault="004C6151" w14:paraId="4BAB7711" w14:textId="77777777">
                                  <w:pPr>
                                    <w:spacing w:after="0"/>
                                    <w:rPr>
                                      <w:rFonts w:ascii="Verdana" w:hAnsi="Verdan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7ED8C7D">
                    <v:shapetype id="_x0000_t202" coordsize="21600,21600" o:spt="202" path="m,l,21600r21600,l21600,xe" w14:anchorId="4E61BB67">
                      <v:stroke joinstyle="miter"/>
                      <v:path gradientshapeok="t" o:connecttype="rect"/>
                    </v:shapetype>
                    <v:shape id="_x0000_s1029" style="position:absolute;left:0;text-align:left;margin-left:14.7pt;margin-top:-20pt;width:429.75pt;height:60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">
                      <v:textbox>
                        <w:txbxContent>
                          <w:p w:rsidRPr="00256928" w:rsidR="00B633C9" w:rsidP="004C6151" w:rsidRDefault="00B633C9" w14:paraId="71594E5A" w14:textId="77777777">
                            <w:pPr>
                              <w:spacing w:after="0"/>
                              <w:rPr>
                                <w:rFonts w:ascii="Helvetica" w:hAnsi="Helvetica"/>
                                <w:sz w:val="20"/>
                                <w:szCs w:val="20"/>
                              </w:rPr>
                            </w:pPr>
                            <w:r w:rsidRPr="00256928">
                              <w:rPr>
                                <w:rFonts w:ascii="Helvetica" w:hAnsi="Helvetica"/>
                                <w:sz w:val="20"/>
                                <w:szCs w:val="20"/>
                              </w:rPr>
                              <w:t>________________________________________________________________________</w:t>
                            </w:r>
                          </w:p>
                          <w:p w:rsidRPr="00325C9F" w:rsidR="00B633C9" w:rsidP="004C6151" w:rsidRDefault="00B633C9" w14:paraId="051EC297" w14:textId="77777777">
                            <w:pPr>
                              <w:spacing w:after="0"/>
                              <w:rPr>
                                <w:rFonts w:ascii="Verdana" w:hAnsi="Verdana"/>
                                <w:b/>
                                <w:bCs/>
                                <w:sz w:val="18"/>
                                <w:szCs w:val="18"/>
                              </w:rPr>
                            </w:pPr>
                            <w:r w:rsidRPr="00325C9F">
                              <w:rPr>
                                <w:rFonts w:ascii="Verdana" w:hAnsi="Verdana"/>
                                <w:b/>
                                <w:bCs/>
                                <w:sz w:val="18"/>
                                <w:szCs w:val="18"/>
                              </w:rPr>
                              <w:t>Ministerio de Ambiente y Desarrollo Sostenible</w:t>
                            </w:r>
                          </w:p>
                          <w:p w:rsidRPr="00325C9F" w:rsidR="00B633C9" w:rsidP="004C6151" w:rsidRDefault="00B633C9" w14:paraId="28CA90DC" w14:textId="6D54AE80">
                            <w:pPr>
                              <w:spacing w:after="0"/>
                              <w:rPr>
                                <w:rFonts w:ascii="Verdana" w:hAnsi="Verdana"/>
                                <w:sz w:val="18"/>
                                <w:szCs w:val="18"/>
                              </w:rPr>
                            </w:pPr>
                            <w:r w:rsidRPr="00325C9F">
                              <w:rPr>
                                <w:rFonts w:ascii="Verdana" w:hAnsi="Verdana"/>
                                <w:sz w:val="18"/>
                                <w:szCs w:val="18"/>
                              </w:rPr>
                              <w:t>Dirección: Calle 37 #8 - 40, Bogotá D.C., Colombia</w:t>
                            </w:r>
                          </w:p>
                          <w:p w:rsidR="00B633C9" w:rsidP="004C6151" w:rsidRDefault="004C6151" w14:paraId="799A4F64" w14:textId="1805D95C">
                            <w:pPr>
                              <w:spacing w:after="0"/>
                              <w:rPr>
                                <w:rFonts w:ascii="Verdana" w:hAnsi="Verdana"/>
                                <w:sz w:val="18"/>
                                <w:szCs w:val="18"/>
                              </w:rPr>
                            </w:pPr>
                            <w:hyperlink w:history="1" r:id="rId2">
                              <w:r w:rsidRPr="00345633">
                                <w:rPr>
                                  <w:rStyle w:val="Hipervnculo"/>
                                  <w:rFonts w:ascii="Verdana" w:hAnsi="Verdana"/>
                                  <w:sz w:val="18"/>
                                  <w:szCs w:val="18"/>
                                </w:rPr>
                                <w:t>www.minambiente.gov.co</w:t>
                              </w:r>
                            </w:hyperlink>
                          </w:p>
                          <w:p w:rsidRPr="00325C9F" w:rsidR="004C6151" w:rsidP="004C6151" w:rsidRDefault="004C6151" w14:paraId="02EB378F" w14:textId="77777777">
                            <w:pPr>
                              <w:spacing w:after="0"/>
                              <w:rPr>
                                <w:rFonts w:ascii="Verdana" w:hAnsi="Verdana"/>
                                <w:sz w:val="18"/>
                                <w:szCs w:val="18"/>
                              </w:rPr>
                            </w:pPr>
                          </w:p>
                        </w:txbxContent>
                      </v:textbox>
                      <w10:wrap anchorx="margin"/>
                    </v:shape>
                  </w:pict>
                </mc:Fallback>
              </mc:AlternateContent>
            </w:r>
            <w:r w:rsidRPr="00325C9F">
              <w:rPr>
                <w:rFonts w:ascii="Verdana" w:hAnsi="Verdana"/>
                <w:color w:val="000000"/>
                <w:sz w:val="18"/>
                <w:szCs w:val="18"/>
              </w:rPr>
              <w:t xml:space="preserve">Página </w:t>
            </w:r>
            <w:r w:rsidRPr="00325C9F">
              <w:rPr>
                <w:rFonts w:ascii="Verdana" w:hAnsi="Verdana"/>
                <w:color w:val="000000"/>
                <w:sz w:val="18"/>
                <w:szCs w:val="18"/>
              </w:rPr>
              <w:fldChar w:fldCharType="begin"/>
            </w:r>
            <w:r w:rsidRPr="00325C9F">
              <w:rPr>
                <w:rFonts w:ascii="Verdana" w:hAnsi="Verdana"/>
                <w:color w:val="000000"/>
                <w:sz w:val="18"/>
                <w:szCs w:val="18"/>
              </w:rPr>
              <w:instrText>PAGE   \* MERGEFORMAT</w:instrText>
            </w:r>
            <w:r w:rsidRPr="00325C9F">
              <w:rPr>
                <w:rFonts w:ascii="Verdana" w:hAnsi="Verdana"/>
                <w:color w:val="000000"/>
                <w:sz w:val="18"/>
                <w:szCs w:val="18"/>
              </w:rPr>
              <w:fldChar w:fldCharType="separate"/>
            </w:r>
            <w:r>
              <w:rPr>
                <w:rFonts w:ascii="Verdana" w:hAnsi="Verdana"/>
                <w:color w:val="000000"/>
                <w:sz w:val="18"/>
                <w:szCs w:val="18"/>
              </w:rPr>
              <w:t>2</w:t>
            </w:r>
            <w:r w:rsidRPr="00325C9F">
              <w:rPr>
                <w:rFonts w:ascii="Verdana" w:hAnsi="Verdana"/>
                <w:color w:val="000000"/>
                <w:sz w:val="18"/>
                <w:szCs w:val="18"/>
              </w:rPr>
              <w:fldChar w:fldCharType="end"/>
            </w:r>
            <w:r w:rsidRPr="00325C9F">
              <w:rPr>
                <w:rFonts w:ascii="Verdana" w:hAnsi="Verdana"/>
                <w:color w:val="000000"/>
                <w:sz w:val="18"/>
                <w:szCs w:val="18"/>
              </w:rPr>
              <w:t xml:space="preserve"> | </w:t>
            </w:r>
            <w:r w:rsidRPr="00325C9F">
              <w:rPr>
                <w:rFonts w:ascii="Verdana" w:hAnsi="Verdana"/>
                <w:color w:val="000000"/>
                <w:sz w:val="18"/>
                <w:szCs w:val="18"/>
              </w:rPr>
              <w:fldChar w:fldCharType="begin"/>
            </w:r>
            <w:r w:rsidRPr="00325C9F">
              <w:rPr>
                <w:rFonts w:ascii="Verdana" w:hAnsi="Verdana"/>
                <w:color w:val="000000"/>
                <w:sz w:val="18"/>
                <w:szCs w:val="18"/>
              </w:rPr>
              <w:instrText>NUMPAGES  \* Arabic  \* MERGEFORMAT</w:instrText>
            </w:r>
            <w:r w:rsidRPr="00325C9F">
              <w:rPr>
                <w:rFonts w:ascii="Verdana" w:hAnsi="Verdana"/>
                <w:color w:val="000000"/>
                <w:sz w:val="18"/>
                <w:szCs w:val="18"/>
              </w:rPr>
              <w:fldChar w:fldCharType="separate"/>
            </w:r>
            <w:r>
              <w:rPr>
                <w:rFonts w:ascii="Verdana" w:hAnsi="Verdana"/>
                <w:color w:val="000000"/>
                <w:sz w:val="18"/>
                <w:szCs w:val="18"/>
              </w:rPr>
              <w:t>14</w:t>
            </w:r>
            <w:r w:rsidRPr="00325C9F">
              <w:rPr>
                <w:rFonts w:ascii="Verdana" w:hAnsi="Verdana"/>
                <w:color w:val="000000"/>
                <w:sz w:val="18"/>
                <w:szCs w:val="18"/>
              </w:rPr>
              <w:fldChar w:fldCharType="end"/>
            </w:r>
          </w:p>
          <w:p w:rsidRPr="00325C9F" w:rsidR="00B633C9" w:rsidP="00B633C9" w:rsidRDefault="00B633C9" w14:paraId="6D9295DE" w14:textId="77777777">
            <w:pPr>
              <w:pStyle w:val="Piedepgina"/>
              <w:jc w:val="right"/>
              <w:rPr>
                <w:rFonts w:ascii="Verdana" w:hAnsi="Verdana"/>
                <w:color w:val="000000"/>
                <w:sz w:val="18"/>
                <w:szCs w:val="18"/>
              </w:rPr>
            </w:pPr>
          </w:p>
          <w:p w:rsidRPr="00325C9F" w:rsidR="00B633C9" w:rsidP="00B633C9" w:rsidRDefault="00000000" w14:paraId="2B8C5F7C" w14:textId="77777777">
            <w:pPr>
              <w:pStyle w:val="Piedepgina"/>
              <w:jc w:val="center"/>
              <w:rPr>
                <w:rFonts w:ascii="Verdana" w:hAnsi="Verdana"/>
                <w:sz w:val="18"/>
                <w:szCs w:val="18"/>
              </w:rPr>
            </w:pPr>
          </w:p>
        </w:sdtContent>
      </w:sdt>
      <w:p w:rsidRPr="00176CAC" w:rsidR="00B633C9" w:rsidP="00B633C9" w:rsidRDefault="00B633C9" w14:paraId="4337D903" w14:textId="77777777">
        <w:pPr>
          <w:spacing w:after="0"/>
        </w:pPr>
        <w:r w:rsidRPr="001E2C4D">
          <w:rPr>
            <w:noProof/>
          </w:rPr>
          <mc:AlternateContent>
            <mc:Choice Requires="wps">
              <w:drawing>
                <wp:anchor distT="0" distB="0" distL="114300" distR="114300" simplePos="0" relativeHeight="251665408" behindDoc="1" locked="0" layoutInCell="1" allowOverlap="1" wp14:anchorId="609BCF84" wp14:editId="5474D338">
                  <wp:simplePos x="0" y="0"/>
                  <wp:positionH relativeFrom="page">
                    <wp:posOffset>6957060</wp:posOffset>
                  </wp:positionH>
                  <wp:positionV relativeFrom="page">
                    <wp:posOffset>10049510</wp:posOffset>
                  </wp:positionV>
                  <wp:extent cx="246380" cy="203835"/>
                  <wp:effectExtent l="3810" t="635" r="0" b="0"/>
                  <wp:wrapNone/>
                  <wp:docPr id="676731543" name="Cuadro de texto 67673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3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1E2C4D" w:rsidR="00B633C9" w:rsidP="00B633C9" w:rsidRDefault="00B633C9" w14:paraId="40F72B75" w14:textId="77777777">
                              <w:pPr>
                                <w:spacing w:before="19"/>
                                <w:ind w:left="60"/>
                                <w:rPr>
                                  <w:rFonts w:ascii="Arial Black"/>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1ADEA2F">
                <v:shape id="Cuadro de texto 676731543" style="position:absolute;margin-left:547.8pt;margin-top:791.3pt;width:19.4pt;height:16.0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" w14:anchorId="609BCF84">
                  <v:textbox inset="0,0,0,0">
                    <w:txbxContent>
                      <w:p w:rsidRPr="001E2C4D" w:rsidR="00B633C9" w:rsidP="00B633C9" w:rsidRDefault="00B633C9" w14:paraId="6A05A809" w14:textId="77777777">
                        <w:pPr>
                          <w:spacing w:before="19"/>
                          <w:ind w:left="60"/>
                          <w:rPr>
                            <w:rFonts w:ascii="Arial Black"/>
                            <w:sz w:val="20"/>
                          </w:rPr>
                        </w:pPr>
                      </w:p>
                    </w:txbxContent>
                  </v:textbox>
                  <w10:wrap anchorx="page" anchory="page"/>
                </v:shape>
              </w:pict>
            </mc:Fallback>
          </mc:AlternateContent>
        </w:r>
      </w:p>
    </w:sdtContent>
  </w:sdt>
  <w:bookmarkEnd w:id="10"/>
</w:ftr>
</file>

<file path=word/footer4.xml><?xml version="1.0" encoding="utf-8"?>
<w:ft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2945"/>
      <w:gridCol w:w="2945"/>
      <w:gridCol w:w="2945"/>
    </w:tblGrid>
    <w:tr w:rsidR="43ACAF5B" w:rsidTr="43ACAF5B" w14:paraId="5077A784">
      <w:trPr>
        <w:trHeight w:val="300"/>
      </w:trPr>
      <w:tc>
        <w:tcPr>
          <w:tcW w:w="2945" w:type="dxa"/>
          <w:tcMar/>
        </w:tcPr>
        <w:p w:rsidR="43ACAF5B" w:rsidP="43ACAF5B" w:rsidRDefault="43ACAF5B" w14:paraId="3FEADC7A" w14:textId="48FFBC4D">
          <w:pPr>
            <w:pStyle w:val="Encabezado"/>
            <w:bidi w:val="0"/>
            <w:ind w:left="-115"/>
            <w:jc w:val="left"/>
          </w:pPr>
        </w:p>
      </w:tc>
      <w:tc>
        <w:tcPr>
          <w:tcW w:w="2945" w:type="dxa"/>
          <w:tcMar/>
        </w:tcPr>
        <w:p w:rsidR="43ACAF5B" w:rsidP="43ACAF5B" w:rsidRDefault="43ACAF5B" w14:paraId="20A3E3EE" w14:textId="7E646A02">
          <w:pPr>
            <w:pStyle w:val="Encabezado"/>
            <w:bidi w:val="0"/>
            <w:jc w:val="center"/>
          </w:pPr>
        </w:p>
      </w:tc>
      <w:tc>
        <w:tcPr>
          <w:tcW w:w="2945" w:type="dxa"/>
          <w:tcMar/>
        </w:tcPr>
        <w:p w:rsidR="43ACAF5B" w:rsidP="43ACAF5B" w:rsidRDefault="43ACAF5B" w14:paraId="7FF44CA4" w14:textId="5B6590AA">
          <w:pPr>
            <w:pStyle w:val="Encabezado"/>
            <w:bidi w:val="0"/>
            <w:ind w:right="-115"/>
            <w:jc w:val="right"/>
          </w:pPr>
        </w:p>
      </w:tc>
    </w:tr>
  </w:tbl>
  <w:p w:rsidR="43ACAF5B" w:rsidP="43ACAF5B" w:rsidRDefault="43ACAF5B" w14:paraId="2B10447B" w14:textId="744BA819">
    <w:pPr>
      <w:pStyle w:val="Piedepgina"/>
      <w:bidi w:val="0"/>
    </w:pPr>
  </w:p>
</w:ftr>
</file>

<file path=word/footer5.xml><?xml version="1.0" encoding="utf-8"?>
<w:ft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4095"/>
      <w:gridCol w:w="4095"/>
      <w:gridCol w:w="4095"/>
    </w:tblGrid>
    <w:tr w:rsidR="43ACAF5B" w:rsidTr="43ACAF5B" w14:paraId="5F49AE48">
      <w:trPr>
        <w:trHeight w:val="300"/>
      </w:trPr>
      <w:tc>
        <w:tcPr>
          <w:tcW w:w="4095" w:type="dxa"/>
          <w:tcMar/>
        </w:tcPr>
        <w:p w:rsidR="43ACAF5B" w:rsidP="43ACAF5B" w:rsidRDefault="43ACAF5B" w14:paraId="361E6E1D" w14:textId="396F0B45">
          <w:pPr>
            <w:pStyle w:val="Encabezado"/>
            <w:bidi w:val="0"/>
            <w:ind w:left="-115"/>
            <w:jc w:val="left"/>
          </w:pPr>
        </w:p>
      </w:tc>
      <w:tc>
        <w:tcPr>
          <w:tcW w:w="4095" w:type="dxa"/>
          <w:tcMar/>
        </w:tcPr>
        <w:p w:rsidR="43ACAF5B" w:rsidP="43ACAF5B" w:rsidRDefault="43ACAF5B" w14:paraId="381FF72F" w14:textId="126E5879">
          <w:pPr>
            <w:pStyle w:val="Encabezado"/>
            <w:bidi w:val="0"/>
            <w:jc w:val="center"/>
          </w:pPr>
        </w:p>
      </w:tc>
      <w:tc>
        <w:tcPr>
          <w:tcW w:w="4095" w:type="dxa"/>
          <w:tcMar/>
        </w:tcPr>
        <w:p w:rsidR="43ACAF5B" w:rsidP="43ACAF5B" w:rsidRDefault="43ACAF5B" w14:paraId="502659BC" w14:textId="233426DA">
          <w:pPr>
            <w:pStyle w:val="Encabezado"/>
            <w:bidi w:val="0"/>
            <w:ind w:right="-115"/>
            <w:jc w:val="right"/>
          </w:pPr>
        </w:p>
      </w:tc>
    </w:tr>
  </w:tbl>
  <w:p w:rsidR="43ACAF5B" w:rsidP="43ACAF5B" w:rsidRDefault="43ACAF5B" w14:paraId="6AF6012D" w14:textId="2D5F97EC">
    <w:pPr>
      <w:pStyle w:val="Piedepgina"/>
      <w:bidi w:val="0"/>
    </w:pPr>
  </w:p>
</w:ftr>
</file>

<file path=word/footer6.xml><?xml version="1.0" encoding="utf-8"?>
<w:ftr xmlns:w14="http://schemas.microsoft.com/office/word/2010/wordml" xmlns:w="http://schemas.openxmlformats.org/wordprocessingml/2006/main" xmlns:mc="http://schemas.openxmlformats.org/markup-compatibility/2006" xmlns:wp="http://schemas.openxmlformats.org/drawingml/2006/wordprocessingDrawing" xmlns:wp14="http://schemas.microsoft.com/office/word/2010/wordprocessingDrawing" xmlns:a="http://schemas.openxmlformats.org/drawingml/2006/main" xmlns:wps="http://schemas.microsoft.com/office/word/2010/wordprocessingShape" xmlns:r="http://schemas.openxmlformats.org/officeDocument/2006/relationships" xmlns:v="urn:schemas-microsoft-com:vml" xmlns:o="urn:schemas-microsoft-com:office:office" xmlns:w10="urn:schemas-microsoft-com:office:word">
  <w:p w:rsidR="43ACAF5B" w:rsidP="3433DD88" w:rsidRDefault="43ACAF5B" w14:paraId="028864F3" w14:textId="6A472D28">
    <w:pPr>
      <w:pStyle w:val="Piedepgina"/>
      <w:rPr>
        <w:rFonts w:ascii="Verdana" w:hAnsi="Verdana"/>
        <w:color w:val="000000" w:themeColor="text1" w:themeTint="FF" w:themeShade="FF"/>
        <w:sz w:val="18"/>
        <w:szCs w:val="18"/>
      </w:rPr>
    </w:pP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35D60E29" wp14:editId="50FF68DE">
              <wp:extent xmlns:wp="http://schemas.openxmlformats.org/drawingml/2006/wordprocessingDrawing" cx="5457825" cy="762000"/>
              <wp:effectExtent xmlns:wp="http://schemas.openxmlformats.org/drawingml/2006/wordprocessingDrawing" l="0" t="0" r="0" b="0"/>
              <wp:docPr xmlns:wp="http://schemas.openxmlformats.org/drawingml/2006/wordprocessingDrawing" id="1428732039" name="Cuadro de texto 1"/>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txBox="1"/>
                    <wps:spPr>
                      <a:xfrm>
                        <a:off x="0" y="0"/>
                        <a:ext cx="5457825" cy="762000"/>
                      </a:xfrm>
                      <a:prstGeom prst="rect">
                        <a:avLst/>
                      </a:prstGeom>
                      <a:noFill/>
                      <a:ln w="6350">
                        <a:noFill/>
                      </a:ln>
                    </wps:spPr>
                    <wps:txbx>
                      <w:txbxContent xmlns:w="http://schemas.openxmlformats.org/wordprocessingml/2006/main">
                        <w:p xmlns:w14="http://schemas.microsoft.com/office/word/2010/wordml" w:rsidRPr="00256928" w:rsidR="00B633C9" w:rsidP="004C6151" w:rsidRDefault="00B633C9" w14:paraId="54DAE8D6" w14:textId="77777777">
                          <w:pPr>
                            <w:spacing w:after="0"/>
                            <w:rPr>
                              <w:rFonts w:ascii="Helvetica" w:hAnsi="Helvetica"/>
                              <w:sz w:val="20"/>
                              <w:szCs w:val="20"/>
                            </w:rPr>
                          </w:pPr>
                          <w:r w:rsidRPr="00256928">
                            <w:rPr>
                              <w:rFonts w:ascii="Helvetica" w:hAnsi="Helvetica"/>
                              <w:sz w:val="20"/>
                              <w:szCs w:val="20"/>
                            </w:rPr>
                            <w:t>________________________________________________________________________</w:t>
                          </w:r>
                        </w:p>
                        <w:p xmlns:w14="http://schemas.microsoft.com/office/word/2010/wordml" w:rsidRPr="00325C9F" w:rsidR="00B633C9" w:rsidP="004C6151" w:rsidRDefault="00B633C9" w14:paraId="6D234CD4" w14:textId="77777777">
                          <w:pPr>
                            <w:spacing w:after="0"/>
                            <w:rPr>
                              <w:rFonts w:ascii="Verdana" w:hAnsi="Verdana"/>
                              <w:b/>
                              <w:bCs/>
                              <w:sz w:val="18"/>
                              <w:szCs w:val="18"/>
                            </w:rPr>
                          </w:pPr>
                          <w:r w:rsidRPr="00325C9F">
                            <w:rPr>
                              <w:rFonts w:ascii="Verdana" w:hAnsi="Verdana"/>
                              <w:b/>
                              <w:bCs/>
                              <w:sz w:val="18"/>
                              <w:szCs w:val="18"/>
                            </w:rPr>
                            <w:t>Ministerio de Ambiente y Desarrollo Sostenible</w:t>
                          </w:r>
                        </w:p>
                        <w:p xmlns:w14="http://schemas.microsoft.com/office/word/2010/wordml" w:rsidRPr="00325C9F" w:rsidR="00B633C9" w:rsidP="004C6151" w:rsidRDefault="00B633C9" w14:paraId="7E476137" w14:textId="6D54AE80">
                          <w:pPr>
                            <w:spacing w:after="0"/>
                            <w:rPr>
                              <w:rFonts w:ascii="Verdana" w:hAnsi="Verdana"/>
                              <w:sz w:val="18"/>
                              <w:szCs w:val="18"/>
                            </w:rPr>
                          </w:pPr>
                          <w:r w:rsidRPr="00325C9F">
                            <w:rPr>
                              <w:rFonts w:ascii="Verdana" w:hAnsi="Verdana"/>
                              <w:sz w:val="18"/>
                              <w:szCs w:val="18"/>
                            </w:rPr>
                            <w:t>Dirección: Calle 37 #8 - 40, Bogotá D.C., Colombia</w:t>
                          </w:r>
                        </w:p>
                        <w:p xmlns:w14="http://schemas.microsoft.com/office/word/2010/wordml" w:rsidR="00B633C9" w:rsidP="004C6151" w:rsidRDefault="004C6151" w14:paraId="4F7119CA" w14:textId="1805D95C">
                          <w:pPr>
                            <w:spacing w:after="0"/>
                            <w:rPr>
                              <w:rFonts w:ascii="Verdana" w:hAnsi="Verdana"/>
                              <w:sz w:val="18"/>
                              <w:szCs w:val="18"/>
                            </w:rPr>
                          </w:pPr>
                          <w:hyperlink xmlns:r="http://schemas.openxmlformats.org/officeDocument/2006/relationships" w:history="1" r:id="rId1">
                            <w:r w:rsidRPr="00345633">
                              <w:rPr>
                                <w:rStyle w:val="Hipervnculo"/>
                                <w:rFonts w:ascii="Verdana" w:hAnsi="Verdana"/>
                                <w:sz w:val="18"/>
                                <w:szCs w:val="18"/>
                              </w:rPr>
                              <w:t>www.minambiente.gov.co</w:t>
                            </w:r>
                          </w:hyperlink>
                        </w:p>
                        <w:p xmlns:w14="http://schemas.microsoft.com/office/word/2010/wordml" w:rsidRPr="00325C9F" w:rsidR="004C6151" w:rsidP="004C6151" w:rsidRDefault="004C6151" w14:paraId="4BAB7711" w14:textId="77777777">
                          <w:pPr>
                            <w:spacing w:after="0"/>
                            <w:rPr>
                              <w:rFonts w:ascii="Verdana" w:hAnsi="Verdana"/>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mc="http://schemas.openxmlformats.org/markup-compatibility/2006">
          <w:pict xmlns:w14="http://schemas.microsoft.com/office/word/2010/wordml" xmlns:w="http://schemas.openxmlformats.org/wordprocessingml/2006/main" w14:anchorId="67ED8C7D">
            <v:shapetype xmlns:o="urn:schemas-microsoft-com:office:office" xmlns:v="urn:schemas-microsoft-com:vml" id="_x0000_t202" coordsize="21600,21600" o:spt="202" path="m,l,21600r21600,l21600,xe" w14:anchorId="4E61BB67">
              <v:stroke joinstyle="miter"/>
              <v:path gradientshapeok="t" o:connecttype="rect"/>
            </v:shapetype>
            <v:shape xmlns:o="urn:schemas-microsoft-com:office:office" xmlns:v="urn:schemas-microsoft-com:vml" id="_x0000_s1029" style="position:absolute;left:0;text-align:left;margin-left:14.7pt;margin-top:-20pt;width:429.75pt;height:60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">
              <v:textbox>
                <w:txbxContent>
                  <w:p w:rsidRPr="00256928" w:rsidR="00B633C9" w:rsidP="004C6151" w:rsidRDefault="00B633C9" w14:paraId="71594E5A" w14:textId="77777777">
                    <w:pPr>
                      <w:spacing w:after="0"/>
                      <w:rPr>
                        <w:rFonts w:ascii="Helvetica" w:hAnsi="Helvetica"/>
                        <w:sz w:val="20"/>
                        <w:szCs w:val="20"/>
                      </w:rPr>
                    </w:pPr>
                    <w:r w:rsidRPr="00256928">
                      <w:rPr>
                        <w:rFonts w:ascii="Helvetica" w:hAnsi="Helvetica"/>
                        <w:sz w:val="20"/>
                        <w:szCs w:val="20"/>
                      </w:rPr>
                      <w:t>________________________________________________________________________</w:t>
                    </w:r>
                  </w:p>
                  <w:p w:rsidRPr="00325C9F" w:rsidR="00B633C9" w:rsidP="004C6151" w:rsidRDefault="00B633C9" w14:paraId="051EC297" w14:textId="77777777">
                    <w:pPr>
                      <w:spacing w:after="0"/>
                      <w:rPr>
                        <w:rFonts w:ascii="Verdana" w:hAnsi="Verdana"/>
                        <w:b/>
                        <w:bCs/>
                        <w:sz w:val="18"/>
                        <w:szCs w:val="18"/>
                      </w:rPr>
                    </w:pPr>
                    <w:r w:rsidRPr="00325C9F">
                      <w:rPr>
                        <w:rFonts w:ascii="Verdana" w:hAnsi="Verdana"/>
                        <w:b/>
                        <w:bCs/>
                        <w:sz w:val="18"/>
                        <w:szCs w:val="18"/>
                      </w:rPr>
                      <w:t>Ministerio de Ambiente y Desarrollo Sostenible</w:t>
                    </w:r>
                  </w:p>
                  <w:p w:rsidRPr="00325C9F" w:rsidR="00B633C9" w:rsidP="004C6151" w:rsidRDefault="00B633C9" w14:paraId="28CA90DC" w14:textId="6D54AE80">
                    <w:pPr>
                      <w:spacing w:after="0"/>
                      <w:rPr>
                        <w:rFonts w:ascii="Verdana" w:hAnsi="Verdana"/>
                        <w:sz w:val="18"/>
                        <w:szCs w:val="18"/>
                      </w:rPr>
                    </w:pPr>
                    <w:r w:rsidRPr="00325C9F">
                      <w:rPr>
                        <w:rFonts w:ascii="Verdana" w:hAnsi="Verdana"/>
                        <w:sz w:val="18"/>
                        <w:szCs w:val="18"/>
                      </w:rPr>
                      <w:t>Dirección: Calle 37 #8 - 40, Bogotá D.C., Colombia</w:t>
                    </w:r>
                  </w:p>
                  <w:p w:rsidR="00B633C9" w:rsidP="004C6151" w:rsidRDefault="004C6151" w14:paraId="799A4F64" w14:textId="1805D95C">
                    <w:pPr>
                      <w:spacing w:after="0"/>
                      <w:rPr>
                        <w:rFonts w:ascii="Verdana" w:hAnsi="Verdana"/>
                        <w:sz w:val="18"/>
                        <w:szCs w:val="18"/>
                      </w:rPr>
                    </w:pPr>
                    <w:hyperlink xmlns:r="http://schemas.openxmlformats.org/officeDocument/2006/relationships" w:history="1" r:id="rId2">
                      <w:r w:rsidRPr="00345633">
                        <w:rPr>
                          <w:rStyle w:val="Hipervnculo"/>
                          <w:rFonts w:ascii="Verdana" w:hAnsi="Verdana"/>
                          <w:sz w:val="18"/>
                          <w:szCs w:val="18"/>
                        </w:rPr>
                        <w:t>www.minambiente.gov.co</w:t>
                      </w:r>
                    </w:hyperlink>
                  </w:p>
                  <w:p w:rsidRPr="00325C9F" w:rsidR="004C6151" w:rsidP="004C6151" w:rsidRDefault="004C6151" w14:paraId="02EB378F" w14:textId="77777777">
                    <w:pPr>
                      <w:spacing w:after="0"/>
                      <w:rPr>
                        <w:rFonts w:ascii="Verdana" w:hAnsi="Verdana"/>
                        <w:sz w:val="18"/>
                        <w:szCs w:val="18"/>
                      </w:rPr>
                    </w:pPr>
                  </w:p>
                </w:txbxContent>
              </v:textbox>
              <w10:wrap xmlns:w10="urn:schemas-microsoft-com:office:word"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2312E" w:rsidP="0003659E" w:rsidRDefault="0042312E" w14:paraId="62500D88" w14:textId="77777777">
      <w:pPr>
        <w:spacing w:after="0" w:line="240" w:lineRule="auto"/>
      </w:pPr>
      <w:r>
        <w:separator/>
      </w:r>
    </w:p>
  </w:footnote>
  <w:footnote w:type="continuationSeparator" w:id="0">
    <w:p w:rsidR="0042312E" w:rsidP="0003659E" w:rsidRDefault="0042312E" w14:paraId="626C45E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C368C" w:rsidRDefault="006C368C" w14:paraId="13DF5AF1" w14:textId="2171101B">
    <w:pPr>
      <w:pStyle w:val="Encabezado"/>
    </w:pPr>
    <w:r w:rsidR="7457B650">
      <w:drawing>
        <wp:anchor distT="0" distB="0" distL="114300" distR="114300" simplePos="0" relativeHeight="251658240" behindDoc="0" locked="0" layoutInCell="1" allowOverlap="1" wp14:anchorId="73194B76" wp14:editId="5E7771ED">
          <wp:simplePos x="0" y="0"/>
          <wp:positionH relativeFrom="column">
            <wp:posOffset>2390775</wp:posOffset>
          </wp:positionH>
          <wp:positionV relativeFrom="paragraph">
            <wp:posOffset>-438150</wp:posOffset>
          </wp:positionV>
          <wp:extent cx="1102905" cy="683368"/>
          <wp:effectExtent l="0" t="0" r="0" b="0"/>
          <wp:wrapNone/>
          <wp:docPr id="83295641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041697" name="Picture 5041697"/>
                  <pic:cNvPicPr/>
                </pic:nvPicPr>
                <pic:blipFill>
                  <a:blip xmlns:r="http://schemas.openxmlformats.org/officeDocument/2006/relationships" r:embed="rId213169597">
                    <a:alphaModFix amt="68000"/>
                    <a:extLst>
                      <a:ext uri="{28A0092B-C50C-407E-A947-70E740481C1C}">
                        <a14:useLocalDpi xmlns:a14="http://schemas.microsoft.com/office/drawing/2010/main"/>
                      </a:ext>
                    </a:extLst>
                  </a:blip>
                  <a:stretch>
                    <a:fillRect/>
                  </a:stretch>
                </pic:blipFill>
                <pic:spPr>
                  <a:xfrm rot="0">
                    <a:off x="0" y="0"/>
                    <a:ext cx="1102905" cy="68336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46A8B" w:rsidRDefault="00917788" w14:paraId="183D7A22" w14:textId="34F32F2B">
    <w:pPr>
      <w:pStyle w:val="Encabezado"/>
      <w:bidi w:val="0"/>
    </w:pPr>
    <w:r w:rsidR="3433DD88">
      <w:drawing>
        <wp:anchor distT="0" distB="0" distL="114300" distR="114300" simplePos="0" relativeHeight="251658240" behindDoc="0" locked="0" layoutInCell="1" allowOverlap="1" wp14:editId="3CB07466" wp14:anchorId="72D3A6D7">
          <wp:simplePos x="0" y="0"/>
          <wp:positionH relativeFrom="column">
            <wp:posOffset>2324100</wp:posOffset>
          </wp:positionH>
          <wp:positionV relativeFrom="paragraph">
            <wp:posOffset>-180975</wp:posOffset>
          </wp:positionV>
          <wp:extent cx="992523" cy="612775"/>
          <wp:effectExtent l="0" t="0" r="0" b="0"/>
          <wp:wrapNone/>
          <wp:docPr id="148897155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62549279" name="Picture 1762549279"/>
                  <pic:cNvPicPr/>
                </pic:nvPicPr>
                <pic:blipFill>
                  <a:blip xmlns:r="http://schemas.openxmlformats.org/officeDocument/2006/relationships" r:embed="rId1103942617">
                    <a:extLst>
                      <a:ext uri="{28A0092B-C50C-407E-A947-70E740481C1C}">
                        <a14:useLocalDpi xmlns:a14="http://schemas.microsoft.com/office/drawing/2010/main"/>
                      </a:ext>
                    </a:extLst>
                  </a:blip>
                  <a:stretch>
                    <a:fillRect/>
                  </a:stretch>
                </pic:blipFill>
                <pic:spPr>
                  <a:xfrm rot="0">
                    <a:off x="0" y="0"/>
                    <a:ext cx="992523" cy="61277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2945"/>
      <w:gridCol w:w="2945"/>
      <w:gridCol w:w="2945"/>
    </w:tblGrid>
    <w:tr w:rsidR="43ACAF5B" w:rsidTr="43ACAF5B" w14:paraId="26DC0AF8">
      <w:trPr>
        <w:trHeight w:val="300"/>
      </w:trPr>
      <w:tc>
        <w:tcPr>
          <w:tcW w:w="2945" w:type="dxa"/>
          <w:tcMar/>
        </w:tcPr>
        <w:p w:rsidR="43ACAF5B" w:rsidP="43ACAF5B" w:rsidRDefault="43ACAF5B" w14:paraId="64B6FC41" w14:textId="6A5D9819">
          <w:pPr>
            <w:pStyle w:val="Encabezado"/>
            <w:bidi w:val="0"/>
            <w:ind w:left="-115"/>
            <w:jc w:val="left"/>
          </w:pPr>
        </w:p>
      </w:tc>
      <w:tc>
        <w:tcPr>
          <w:tcW w:w="2945" w:type="dxa"/>
          <w:tcMar/>
        </w:tcPr>
        <w:p w:rsidR="43ACAF5B" w:rsidP="43ACAF5B" w:rsidRDefault="43ACAF5B" w14:paraId="307F565F" w14:textId="6BDBC454">
          <w:pPr>
            <w:pStyle w:val="Encabezado"/>
            <w:bidi w:val="0"/>
            <w:jc w:val="center"/>
          </w:pPr>
        </w:p>
      </w:tc>
      <w:tc>
        <w:tcPr>
          <w:tcW w:w="2945" w:type="dxa"/>
          <w:tcMar/>
        </w:tcPr>
        <w:p w:rsidR="43ACAF5B" w:rsidP="43ACAF5B" w:rsidRDefault="43ACAF5B" w14:paraId="400B445A" w14:textId="277BE143">
          <w:pPr>
            <w:pStyle w:val="Encabezado"/>
            <w:bidi w:val="0"/>
            <w:ind w:right="-115"/>
            <w:jc w:val="right"/>
          </w:pPr>
        </w:p>
      </w:tc>
    </w:tr>
  </w:tbl>
  <w:p w:rsidR="43ACAF5B" w:rsidP="43ACAF5B" w:rsidRDefault="43ACAF5B" w14:paraId="5751475A" w14:textId="3AFE7230">
    <w:pPr>
      <w:pStyle w:val="Encabezado"/>
      <w:bidi w:val="0"/>
    </w:pPr>
  </w:p>
</w:hdr>
</file>

<file path=word/header4.xml><?xml version="1.0" encoding="utf-8"?>
<w:hd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4095"/>
      <w:gridCol w:w="4095"/>
      <w:gridCol w:w="4095"/>
    </w:tblGrid>
    <w:tr w:rsidR="43ACAF5B" w:rsidTr="43ACAF5B" w14:paraId="7AF1F08A">
      <w:trPr>
        <w:trHeight w:val="300"/>
      </w:trPr>
      <w:tc>
        <w:tcPr>
          <w:tcW w:w="4095" w:type="dxa"/>
          <w:tcMar/>
        </w:tcPr>
        <w:p w:rsidR="43ACAF5B" w:rsidP="43ACAF5B" w:rsidRDefault="43ACAF5B" w14:paraId="6FF574A2" w14:textId="11B8C6C7">
          <w:pPr>
            <w:pStyle w:val="Encabezado"/>
            <w:bidi w:val="0"/>
            <w:ind w:left="-115"/>
            <w:jc w:val="left"/>
          </w:pPr>
        </w:p>
      </w:tc>
      <w:tc>
        <w:tcPr>
          <w:tcW w:w="4095" w:type="dxa"/>
          <w:tcMar/>
        </w:tcPr>
        <w:p w:rsidR="43ACAF5B" w:rsidP="43ACAF5B" w:rsidRDefault="43ACAF5B" w14:paraId="6B4EB5B9" w14:textId="3879DCC7">
          <w:pPr>
            <w:pStyle w:val="Encabezado"/>
            <w:bidi w:val="0"/>
            <w:jc w:val="center"/>
          </w:pPr>
        </w:p>
      </w:tc>
      <w:tc>
        <w:tcPr>
          <w:tcW w:w="4095" w:type="dxa"/>
          <w:tcMar/>
        </w:tcPr>
        <w:p w:rsidR="43ACAF5B" w:rsidP="43ACAF5B" w:rsidRDefault="43ACAF5B" w14:paraId="473AFBA5" w14:textId="5E2F4496">
          <w:pPr>
            <w:pStyle w:val="Encabezado"/>
            <w:bidi w:val="0"/>
            <w:ind w:right="-115"/>
            <w:jc w:val="right"/>
          </w:pPr>
        </w:p>
      </w:tc>
    </w:tr>
  </w:tbl>
  <w:p w:rsidR="43ACAF5B" w:rsidP="43ACAF5B" w:rsidRDefault="43ACAF5B" w14:paraId="41342E8F" w14:textId="3B64C669">
    <w:pPr>
      <w:pStyle w:val="Encabezado"/>
      <w:bidi w:val="0"/>
    </w:pPr>
  </w:p>
</w:hdr>
</file>

<file path=word/header5.xml><?xml version="1.0" encoding="utf-8"?>
<w:hd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p w:rsidR="43ACAF5B" w:rsidP="43ACAF5B" w:rsidRDefault="43ACAF5B" w14:paraId="390FDA63" w14:textId="00020072">
    <w:pPr>
      <w:pStyle w:val="Encabezado"/>
      <w:bidi w:val="0"/>
    </w:pPr>
    <w:r w:rsidR="3D8C40D4">
      <w:drawing>
        <wp:anchor distT="0" distB="0" distL="114300" distR="114300" simplePos="0" relativeHeight="251658240" behindDoc="0" locked="0" layoutInCell="1" allowOverlap="1" wp14:anchorId="158C64A8" wp14:editId="1B52AF56">
          <wp:simplePos x="0" y="0"/>
          <wp:positionH relativeFrom="column">
            <wp:posOffset>2324100</wp:posOffset>
          </wp:positionH>
          <wp:positionV relativeFrom="paragraph">
            <wp:posOffset>-295275</wp:posOffset>
          </wp:positionV>
          <wp:extent cx="992523" cy="612775"/>
          <wp:effectExtent l="0" t="0" r="0" b="0"/>
          <wp:wrapNone/>
          <wp:docPr id="176254927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62549279" name="Picture 1762549279"/>
                  <pic:cNvPicPr/>
                </pic:nvPicPr>
                <pic:blipFill>
                  <a:blip xmlns:r="http://schemas.openxmlformats.org/officeDocument/2006/relationships" r:embed="rId1103942617">
                    <a:extLst>
                      <a:ext uri="{28A0092B-C50C-407E-A947-70E740481C1C}">
                        <a14:useLocalDpi xmlns:a14="http://schemas.microsoft.com/office/drawing/2010/main"/>
                      </a:ext>
                    </a:extLst>
                  </a:blip>
                  <a:stretch>
                    <a:fillRect/>
                  </a:stretch>
                </pic:blipFill>
                <pic:spPr>
                  <a:xfrm rot="0">
                    <a:off x="0" y="0"/>
                    <a:ext cx="992523" cy="6127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7C87D"/>
    <w:multiLevelType w:val="hybridMultilevel"/>
    <w:tmpl w:val="A24CE5E6"/>
    <w:lvl w:ilvl="0" w:tplc="573E688A">
      <w:start w:val="1"/>
      <w:numFmt w:val="bullet"/>
      <w:lvlText w:val=""/>
      <w:lvlJc w:val="left"/>
      <w:pPr>
        <w:ind w:left="720" w:hanging="360"/>
      </w:pPr>
      <w:rPr>
        <w:rFonts w:hint="default" w:ascii="Symbol" w:hAnsi="Symbol"/>
      </w:rPr>
    </w:lvl>
    <w:lvl w:ilvl="1" w:tplc="FA787152">
      <w:start w:val="1"/>
      <w:numFmt w:val="bullet"/>
      <w:lvlText w:val="o"/>
      <w:lvlJc w:val="left"/>
      <w:pPr>
        <w:ind w:left="1440" w:hanging="360"/>
      </w:pPr>
      <w:rPr>
        <w:rFonts w:hint="default" w:ascii="Courier New" w:hAnsi="Courier New"/>
      </w:rPr>
    </w:lvl>
    <w:lvl w:ilvl="2" w:tplc="BF1C1D24">
      <w:start w:val="1"/>
      <w:numFmt w:val="bullet"/>
      <w:lvlText w:val=""/>
      <w:lvlJc w:val="left"/>
      <w:pPr>
        <w:ind w:left="2160" w:hanging="360"/>
      </w:pPr>
      <w:rPr>
        <w:rFonts w:hint="default" w:ascii="Wingdings" w:hAnsi="Wingdings"/>
      </w:rPr>
    </w:lvl>
    <w:lvl w:ilvl="3" w:tplc="3CFAD6E6">
      <w:start w:val="1"/>
      <w:numFmt w:val="bullet"/>
      <w:lvlText w:val=""/>
      <w:lvlJc w:val="left"/>
      <w:pPr>
        <w:ind w:left="2880" w:hanging="360"/>
      </w:pPr>
      <w:rPr>
        <w:rFonts w:hint="default" w:ascii="Symbol" w:hAnsi="Symbol"/>
      </w:rPr>
    </w:lvl>
    <w:lvl w:ilvl="4" w:tplc="C6EA9030">
      <w:start w:val="1"/>
      <w:numFmt w:val="bullet"/>
      <w:lvlText w:val="o"/>
      <w:lvlJc w:val="left"/>
      <w:pPr>
        <w:ind w:left="3600" w:hanging="360"/>
      </w:pPr>
      <w:rPr>
        <w:rFonts w:hint="default" w:ascii="Courier New" w:hAnsi="Courier New"/>
      </w:rPr>
    </w:lvl>
    <w:lvl w:ilvl="5" w:tplc="016A9F9C">
      <w:start w:val="1"/>
      <w:numFmt w:val="bullet"/>
      <w:lvlText w:val=""/>
      <w:lvlJc w:val="left"/>
      <w:pPr>
        <w:ind w:left="4320" w:hanging="360"/>
      </w:pPr>
      <w:rPr>
        <w:rFonts w:hint="default" w:ascii="Wingdings" w:hAnsi="Wingdings"/>
      </w:rPr>
    </w:lvl>
    <w:lvl w:ilvl="6" w:tplc="CF3E01D6">
      <w:start w:val="1"/>
      <w:numFmt w:val="bullet"/>
      <w:lvlText w:val=""/>
      <w:lvlJc w:val="left"/>
      <w:pPr>
        <w:ind w:left="5040" w:hanging="360"/>
      </w:pPr>
      <w:rPr>
        <w:rFonts w:hint="default" w:ascii="Symbol" w:hAnsi="Symbol"/>
      </w:rPr>
    </w:lvl>
    <w:lvl w:ilvl="7" w:tplc="C7F238C8">
      <w:start w:val="1"/>
      <w:numFmt w:val="bullet"/>
      <w:lvlText w:val="o"/>
      <w:lvlJc w:val="left"/>
      <w:pPr>
        <w:ind w:left="5760" w:hanging="360"/>
      </w:pPr>
      <w:rPr>
        <w:rFonts w:hint="default" w:ascii="Courier New" w:hAnsi="Courier New"/>
      </w:rPr>
    </w:lvl>
    <w:lvl w:ilvl="8" w:tplc="C8DA0F54">
      <w:start w:val="1"/>
      <w:numFmt w:val="bullet"/>
      <w:lvlText w:val=""/>
      <w:lvlJc w:val="left"/>
      <w:pPr>
        <w:ind w:left="6480" w:hanging="360"/>
      </w:pPr>
      <w:rPr>
        <w:rFonts w:hint="default" w:ascii="Wingdings" w:hAnsi="Wingdings"/>
      </w:rPr>
    </w:lvl>
  </w:abstractNum>
  <w:abstractNum w:abstractNumId="1" w15:restartNumberingAfterBreak="0">
    <w:nsid w:val="1B03769E"/>
    <w:multiLevelType w:val="multilevel"/>
    <w:tmpl w:val="256E40C6"/>
    <w:lvl w:ilvl="0">
      <w:start w:val="1"/>
      <w:numFmt w:val="decimal"/>
      <w:lvlText w:val="%1."/>
      <w:lvlJc w:val="left"/>
      <w:pPr>
        <w:ind w:left="720" w:hanging="360"/>
      </w:pPr>
      <w:rPr>
        <w:b/>
        <w:bCs/>
      </w:rPr>
    </w:lvl>
    <w:lvl w:ilvl="1">
      <w:start w:val="1"/>
      <w:numFmt w:val="decimal"/>
      <w:lvlText w:val="%1.%2."/>
      <w:lvlJc w:val="left"/>
      <w:pPr>
        <w:ind w:left="1080" w:hanging="720"/>
      </w:pPr>
      <w:rPr>
        <w:b/>
        <w:bCs/>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800" w:hanging="144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2160" w:hanging="180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 w15:restartNumberingAfterBreak="0">
    <w:nsid w:val="5661038E"/>
    <w:multiLevelType w:val="hybridMultilevel"/>
    <w:tmpl w:val="1CE277D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1" w16cid:durableId="317006221">
    <w:abstractNumId w:val="0"/>
  </w:num>
  <w:num w:numId="2" w16cid:durableId="1094665911">
    <w:abstractNumId w:val="1"/>
  </w:num>
  <w:num w:numId="3" w16cid:durableId="1816414701">
    <w:abstractNumId w:val="2"/>
  </w:num>
  <w:numIdMacAtCleanup w:val="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59E"/>
    <w:rsid w:val="00013AC4"/>
    <w:rsid w:val="0003659E"/>
    <w:rsid w:val="000365FE"/>
    <w:rsid w:val="000643B8"/>
    <w:rsid w:val="000664FC"/>
    <w:rsid w:val="00070E5E"/>
    <w:rsid w:val="00092A0D"/>
    <w:rsid w:val="000A53A7"/>
    <w:rsid w:val="000B6DCE"/>
    <w:rsid w:val="000C3A05"/>
    <w:rsid w:val="000D4559"/>
    <w:rsid w:val="000E3558"/>
    <w:rsid w:val="000F021A"/>
    <w:rsid w:val="00111AFB"/>
    <w:rsid w:val="00121C66"/>
    <w:rsid w:val="00132ECE"/>
    <w:rsid w:val="00144588"/>
    <w:rsid w:val="0014506C"/>
    <w:rsid w:val="001452B6"/>
    <w:rsid w:val="00196BB5"/>
    <w:rsid w:val="001A3D47"/>
    <w:rsid w:val="001A7AE9"/>
    <w:rsid w:val="001B72E5"/>
    <w:rsid w:val="001D7F0A"/>
    <w:rsid w:val="001E3A24"/>
    <w:rsid w:val="001F39A8"/>
    <w:rsid w:val="0021189B"/>
    <w:rsid w:val="002250C9"/>
    <w:rsid w:val="002264C7"/>
    <w:rsid w:val="002266CD"/>
    <w:rsid w:val="00236A9A"/>
    <w:rsid w:val="00274895"/>
    <w:rsid w:val="00297D88"/>
    <w:rsid w:val="002A4DCB"/>
    <w:rsid w:val="002E6E61"/>
    <w:rsid w:val="0030050E"/>
    <w:rsid w:val="00305344"/>
    <w:rsid w:val="00326ED6"/>
    <w:rsid w:val="00331ABB"/>
    <w:rsid w:val="00331C0E"/>
    <w:rsid w:val="003326C3"/>
    <w:rsid w:val="00350B20"/>
    <w:rsid w:val="00356F83"/>
    <w:rsid w:val="00363D53"/>
    <w:rsid w:val="003658DA"/>
    <w:rsid w:val="00394F0B"/>
    <w:rsid w:val="003B2687"/>
    <w:rsid w:val="003C7B90"/>
    <w:rsid w:val="003F6FC6"/>
    <w:rsid w:val="0042312E"/>
    <w:rsid w:val="0043138D"/>
    <w:rsid w:val="0043442D"/>
    <w:rsid w:val="00450030"/>
    <w:rsid w:val="0045046E"/>
    <w:rsid w:val="00452B17"/>
    <w:rsid w:val="00487165"/>
    <w:rsid w:val="004A78FD"/>
    <w:rsid w:val="004B2F36"/>
    <w:rsid w:val="004C4CBC"/>
    <w:rsid w:val="004C6151"/>
    <w:rsid w:val="004C7186"/>
    <w:rsid w:val="004D2C55"/>
    <w:rsid w:val="004D62E8"/>
    <w:rsid w:val="004E1DBD"/>
    <w:rsid w:val="004E2478"/>
    <w:rsid w:val="004F2546"/>
    <w:rsid w:val="004F7CFA"/>
    <w:rsid w:val="00507B59"/>
    <w:rsid w:val="00521406"/>
    <w:rsid w:val="0053132D"/>
    <w:rsid w:val="005719A6"/>
    <w:rsid w:val="0058189B"/>
    <w:rsid w:val="005A65A0"/>
    <w:rsid w:val="005C6B16"/>
    <w:rsid w:val="005E11C3"/>
    <w:rsid w:val="005F00A7"/>
    <w:rsid w:val="005F1C07"/>
    <w:rsid w:val="005F3255"/>
    <w:rsid w:val="005F5B97"/>
    <w:rsid w:val="006070AD"/>
    <w:rsid w:val="00612996"/>
    <w:rsid w:val="00640F5E"/>
    <w:rsid w:val="00643C3A"/>
    <w:rsid w:val="00667A75"/>
    <w:rsid w:val="006760D0"/>
    <w:rsid w:val="006B7721"/>
    <w:rsid w:val="006C368C"/>
    <w:rsid w:val="006D0AFC"/>
    <w:rsid w:val="006D1474"/>
    <w:rsid w:val="006E5978"/>
    <w:rsid w:val="006E7569"/>
    <w:rsid w:val="006F084B"/>
    <w:rsid w:val="00706FA7"/>
    <w:rsid w:val="00710828"/>
    <w:rsid w:val="007215A8"/>
    <w:rsid w:val="00740FF2"/>
    <w:rsid w:val="00757778"/>
    <w:rsid w:val="007616EA"/>
    <w:rsid w:val="00761FBE"/>
    <w:rsid w:val="00762050"/>
    <w:rsid w:val="00790270"/>
    <w:rsid w:val="00791F0A"/>
    <w:rsid w:val="007A6153"/>
    <w:rsid w:val="007B5EFC"/>
    <w:rsid w:val="007B7A76"/>
    <w:rsid w:val="007C775B"/>
    <w:rsid w:val="007E4D4C"/>
    <w:rsid w:val="007F66E5"/>
    <w:rsid w:val="00817B52"/>
    <w:rsid w:val="0082648F"/>
    <w:rsid w:val="00833350"/>
    <w:rsid w:val="008444B4"/>
    <w:rsid w:val="008556E8"/>
    <w:rsid w:val="008704CA"/>
    <w:rsid w:val="00872E10"/>
    <w:rsid w:val="0087492B"/>
    <w:rsid w:val="008A379B"/>
    <w:rsid w:val="008A5362"/>
    <w:rsid w:val="008A6F91"/>
    <w:rsid w:val="008B2DF3"/>
    <w:rsid w:val="008B34EF"/>
    <w:rsid w:val="008B463D"/>
    <w:rsid w:val="008B6BEA"/>
    <w:rsid w:val="008D692B"/>
    <w:rsid w:val="00906200"/>
    <w:rsid w:val="00917788"/>
    <w:rsid w:val="00931B5A"/>
    <w:rsid w:val="00946A8B"/>
    <w:rsid w:val="0096549D"/>
    <w:rsid w:val="009830DB"/>
    <w:rsid w:val="0098384D"/>
    <w:rsid w:val="00996DBE"/>
    <w:rsid w:val="00997529"/>
    <w:rsid w:val="009B0E1B"/>
    <w:rsid w:val="009C594A"/>
    <w:rsid w:val="009C74C3"/>
    <w:rsid w:val="009D4E93"/>
    <w:rsid w:val="009E07BE"/>
    <w:rsid w:val="009E7171"/>
    <w:rsid w:val="00A03F8E"/>
    <w:rsid w:val="00A107B0"/>
    <w:rsid w:val="00A21B6B"/>
    <w:rsid w:val="00A23F67"/>
    <w:rsid w:val="00A378E4"/>
    <w:rsid w:val="00A47171"/>
    <w:rsid w:val="00AB29EB"/>
    <w:rsid w:val="00AE3EE7"/>
    <w:rsid w:val="00AE582B"/>
    <w:rsid w:val="00AF36AB"/>
    <w:rsid w:val="00AF3898"/>
    <w:rsid w:val="00B173C6"/>
    <w:rsid w:val="00B33EAF"/>
    <w:rsid w:val="00B41D65"/>
    <w:rsid w:val="00B50E07"/>
    <w:rsid w:val="00B52233"/>
    <w:rsid w:val="00B633C9"/>
    <w:rsid w:val="00B67BE1"/>
    <w:rsid w:val="00B819E1"/>
    <w:rsid w:val="00B95330"/>
    <w:rsid w:val="00B973A0"/>
    <w:rsid w:val="00BA30F6"/>
    <w:rsid w:val="00BA75CE"/>
    <w:rsid w:val="00BB6ADF"/>
    <w:rsid w:val="00BD2076"/>
    <w:rsid w:val="00C0722F"/>
    <w:rsid w:val="00C1139B"/>
    <w:rsid w:val="00C13D79"/>
    <w:rsid w:val="00C150C0"/>
    <w:rsid w:val="00C319C2"/>
    <w:rsid w:val="00C517D4"/>
    <w:rsid w:val="00C54B1B"/>
    <w:rsid w:val="00C55E81"/>
    <w:rsid w:val="00C56F5E"/>
    <w:rsid w:val="00C61885"/>
    <w:rsid w:val="00C8686D"/>
    <w:rsid w:val="00C950BD"/>
    <w:rsid w:val="00CA029C"/>
    <w:rsid w:val="00CB6CCC"/>
    <w:rsid w:val="00CC542E"/>
    <w:rsid w:val="00CD51B7"/>
    <w:rsid w:val="00D16FF4"/>
    <w:rsid w:val="00D253A5"/>
    <w:rsid w:val="00D4258E"/>
    <w:rsid w:val="00D84019"/>
    <w:rsid w:val="00D90E45"/>
    <w:rsid w:val="00D9389D"/>
    <w:rsid w:val="00DA6108"/>
    <w:rsid w:val="00DD069E"/>
    <w:rsid w:val="00DF2B0C"/>
    <w:rsid w:val="00E31BF9"/>
    <w:rsid w:val="00E33ED3"/>
    <w:rsid w:val="00E63AB3"/>
    <w:rsid w:val="00EA3D3E"/>
    <w:rsid w:val="00EA7FE2"/>
    <w:rsid w:val="00ED2982"/>
    <w:rsid w:val="00EE5442"/>
    <w:rsid w:val="00F0221A"/>
    <w:rsid w:val="00F125D5"/>
    <w:rsid w:val="00F15C98"/>
    <w:rsid w:val="00F3215F"/>
    <w:rsid w:val="00F3396A"/>
    <w:rsid w:val="00F34E1E"/>
    <w:rsid w:val="00F42211"/>
    <w:rsid w:val="00F7388F"/>
    <w:rsid w:val="00F801C6"/>
    <w:rsid w:val="00F81141"/>
    <w:rsid w:val="00F81469"/>
    <w:rsid w:val="00F82533"/>
    <w:rsid w:val="00F95BFD"/>
    <w:rsid w:val="00F97615"/>
    <w:rsid w:val="00F97D01"/>
    <w:rsid w:val="00FB3E28"/>
    <w:rsid w:val="00FB62C8"/>
    <w:rsid w:val="00FB652B"/>
    <w:rsid w:val="00FF149D"/>
    <w:rsid w:val="00FF3C7A"/>
    <w:rsid w:val="0435B50B"/>
    <w:rsid w:val="07E13544"/>
    <w:rsid w:val="09591EFF"/>
    <w:rsid w:val="09A82082"/>
    <w:rsid w:val="0AD6EE7F"/>
    <w:rsid w:val="0E33906F"/>
    <w:rsid w:val="108C31CA"/>
    <w:rsid w:val="125D6369"/>
    <w:rsid w:val="173AF2D1"/>
    <w:rsid w:val="17B4BDBB"/>
    <w:rsid w:val="1D833733"/>
    <w:rsid w:val="1E7C40F0"/>
    <w:rsid w:val="1E89B449"/>
    <w:rsid w:val="20223EF4"/>
    <w:rsid w:val="26AF4576"/>
    <w:rsid w:val="27BB0C43"/>
    <w:rsid w:val="27E5032F"/>
    <w:rsid w:val="295B939D"/>
    <w:rsid w:val="2ACC00F1"/>
    <w:rsid w:val="2C95EB2A"/>
    <w:rsid w:val="2F254A52"/>
    <w:rsid w:val="3433DD88"/>
    <w:rsid w:val="35FBB33C"/>
    <w:rsid w:val="37CF7A8A"/>
    <w:rsid w:val="38B113FB"/>
    <w:rsid w:val="392F286C"/>
    <w:rsid w:val="3B289504"/>
    <w:rsid w:val="3D8C40D4"/>
    <w:rsid w:val="43ACAF5B"/>
    <w:rsid w:val="448864F7"/>
    <w:rsid w:val="45DC92FD"/>
    <w:rsid w:val="4762601F"/>
    <w:rsid w:val="483CD7FB"/>
    <w:rsid w:val="48418C95"/>
    <w:rsid w:val="49294C73"/>
    <w:rsid w:val="4F538B63"/>
    <w:rsid w:val="52227CB2"/>
    <w:rsid w:val="54163519"/>
    <w:rsid w:val="5756DF97"/>
    <w:rsid w:val="5879701E"/>
    <w:rsid w:val="58C7AAEB"/>
    <w:rsid w:val="59B36779"/>
    <w:rsid w:val="607EFC6F"/>
    <w:rsid w:val="65B0432F"/>
    <w:rsid w:val="65FB2A5A"/>
    <w:rsid w:val="661DBFE7"/>
    <w:rsid w:val="681DDF4D"/>
    <w:rsid w:val="68B4683A"/>
    <w:rsid w:val="6C610ACF"/>
    <w:rsid w:val="6E1A65DC"/>
    <w:rsid w:val="71570875"/>
    <w:rsid w:val="72D4A4BE"/>
    <w:rsid w:val="7457B650"/>
    <w:rsid w:val="768A84D5"/>
    <w:rsid w:val="76A16C28"/>
    <w:rsid w:val="7AAC5A86"/>
    <w:rsid w:val="7E2033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5C514"/>
  <w15:chartTrackingRefBased/>
  <w15:docId w15:val="{1343E0A1-5199-44DB-B214-247D2D27724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qFormat="1"/>
    <w:lsdException w:name="toc 7" w:uiPriority="39" w:semiHidden="1" w:unhideWhenUsed="1" w:qFormat="1"/>
    <w:lsdException w:name="toc 8" w:uiPriority="39" w:semiHidden="1" w:unhideWhenUsed="1" w:qFormat="1"/>
    <w:lsdException w:name="toc 9" w:uiPriority="3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3659E"/>
    <w:pPr>
      <w:spacing w:after="200" w:line="276" w:lineRule="auto"/>
    </w:pPr>
  </w:style>
  <w:style w:type="paragraph" w:styleId="Ttulo1">
    <w:name w:val="heading 1"/>
    <w:basedOn w:val="Normal"/>
    <w:link w:val="Ttulo1Car"/>
    <w:uiPriority w:val="9"/>
    <w:qFormat/>
    <w:rsid w:val="009830DB"/>
    <w:pPr>
      <w:widowControl w:val="0"/>
      <w:autoSpaceDE w:val="0"/>
      <w:autoSpaceDN w:val="0"/>
      <w:spacing w:after="0" w:line="240" w:lineRule="auto"/>
      <w:ind w:left="221"/>
      <w:outlineLvl w:val="0"/>
    </w:pPr>
    <w:rPr>
      <w:rFonts w:ascii="Arial" w:hAnsi="Arial" w:eastAsia="Arial" w:cs="Arial"/>
      <w:b/>
      <w:bCs/>
      <w:sz w:val="24"/>
      <w:szCs w:val="24"/>
      <w:lang w:val="en-US"/>
    </w:rPr>
  </w:style>
  <w:style w:type="paragraph" w:styleId="Ttulo2">
    <w:name w:val="heading 2"/>
    <w:basedOn w:val="Normal"/>
    <w:link w:val="Ttulo2Car"/>
    <w:uiPriority w:val="9"/>
    <w:qFormat/>
    <w:rsid w:val="009830DB"/>
    <w:pPr>
      <w:widowControl w:val="0"/>
      <w:autoSpaceDE w:val="0"/>
      <w:autoSpaceDN w:val="0"/>
      <w:spacing w:after="0" w:line="240" w:lineRule="auto"/>
      <w:ind w:left="1260" w:hanging="360"/>
      <w:jc w:val="both"/>
      <w:outlineLvl w:val="1"/>
    </w:pPr>
    <w:rPr>
      <w:rFonts w:ascii="Arial" w:hAnsi="Arial" w:eastAsia="Arial" w:cs="Arial"/>
      <w:b/>
      <w:bCs/>
      <w:lang w:val="en-US"/>
    </w:rPr>
  </w:style>
  <w:style w:type="paragraph" w:styleId="Ttulo3">
    <w:name w:val="heading 3"/>
    <w:basedOn w:val="Normal"/>
    <w:next w:val="Normal"/>
    <w:link w:val="Ttulo3Car"/>
    <w:uiPriority w:val="9"/>
    <w:unhideWhenUsed/>
    <w:qFormat/>
    <w:rsid w:val="009830DB"/>
    <w:pPr>
      <w:keepNext/>
      <w:widowControl w:val="0"/>
      <w:autoSpaceDE w:val="0"/>
      <w:autoSpaceDN w:val="0"/>
      <w:spacing w:before="240" w:after="60" w:line="240" w:lineRule="auto"/>
      <w:outlineLvl w:val="2"/>
    </w:pPr>
    <w:rPr>
      <w:rFonts w:ascii="Calibri Light" w:hAnsi="Calibri Light" w:eastAsia="Times New Roman" w:cs="Times New Roman"/>
      <w:b/>
      <w:bCs/>
      <w:sz w:val="26"/>
      <w:szCs w:val="26"/>
      <w:lang w:val="en-US"/>
    </w:rPr>
  </w:style>
  <w:style w:type="paragraph" w:styleId="Ttulo4">
    <w:name w:val="heading 4"/>
    <w:basedOn w:val="Normal"/>
    <w:next w:val="Normal"/>
    <w:link w:val="Ttulo4Car"/>
    <w:uiPriority w:val="9"/>
    <w:unhideWhenUsed/>
    <w:qFormat/>
    <w:rsid w:val="009830DB"/>
    <w:pPr>
      <w:keepNext/>
      <w:widowControl w:val="0"/>
      <w:autoSpaceDE w:val="0"/>
      <w:autoSpaceDN w:val="0"/>
      <w:spacing w:before="240" w:after="60" w:line="240" w:lineRule="auto"/>
      <w:outlineLvl w:val="3"/>
    </w:pPr>
    <w:rPr>
      <w:rFonts w:ascii="Calibri" w:hAnsi="Calibri" w:eastAsia="Times New Roman" w:cs="Times New Roman"/>
      <w:b/>
      <w:bCs/>
      <w:sz w:val="28"/>
      <w:szCs w:val="28"/>
      <w:lang w:val="en-US"/>
    </w:rPr>
  </w:style>
  <w:style w:type="paragraph" w:styleId="Ttulo6">
    <w:name w:val="heading 6"/>
    <w:basedOn w:val="Normal"/>
    <w:next w:val="Normal"/>
    <w:link w:val="Ttulo6Car"/>
    <w:uiPriority w:val="9"/>
    <w:semiHidden/>
    <w:unhideWhenUsed/>
    <w:qFormat/>
    <w:rsid w:val="009830DB"/>
    <w:pPr>
      <w:widowControl w:val="0"/>
      <w:autoSpaceDE w:val="0"/>
      <w:autoSpaceDN w:val="0"/>
      <w:spacing w:before="240" w:after="60" w:line="240" w:lineRule="auto"/>
      <w:outlineLvl w:val="5"/>
    </w:pPr>
    <w:rPr>
      <w:rFonts w:ascii="Calibri" w:hAnsi="Calibri" w:eastAsia="Times New Roman" w:cs="Times New Roman"/>
      <w:b/>
      <w:bCs/>
      <w:lang w:val="en-US"/>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Piedepgina">
    <w:name w:val="footer"/>
    <w:basedOn w:val="Normal"/>
    <w:link w:val="PiedepginaCar"/>
    <w:uiPriority w:val="99"/>
    <w:unhideWhenUsed/>
    <w:rsid w:val="0003659E"/>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03659E"/>
  </w:style>
  <w:style w:type="paragraph" w:styleId="Encabezado">
    <w:name w:val="header"/>
    <w:basedOn w:val="Normal"/>
    <w:link w:val="EncabezadoCar"/>
    <w:uiPriority w:val="99"/>
    <w:unhideWhenUsed/>
    <w:rsid w:val="0003659E"/>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03659E"/>
  </w:style>
  <w:style w:type="paragraph" w:styleId="Sinespaciado">
    <w:name w:val="No Spacing"/>
    <w:link w:val="SinespaciadoCar"/>
    <w:uiPriority w:val="1"/>
    <w:qFormat/>
    <w:rsid w:val="00F42211"/>
    <w:pPr>
      <w:spacing w:after="0" w:line="240" w:lineRule="auto"/>
    </w:pPr>
    <w:rPr>
      <w:rFonts w:ascii="Tahoma" w:hAnsi="Tahoma" w:eastAsia="Times New Roman" w:cs="Times New Roman"/>
      <w:sz w:val="20"/>
      <w:szCs w:val="20"/>
      <w:lang w:eastAsia="es-ES"/>
    </w:rPr>
  </w:style>
  <w:style w:type="character" w:styleId="SinespaciadoCar" w:customStyle="1">
    <w:name w:val="Sin espaciado Car"/>
    <w:link w:val="Sinespaciado"/>
    <w:uiPriority w:val="1"/>
    <w:rsid w:val="00F42211"/>
    <w:rPr>
      <w:rFonts w:ascii="Tahoma" w:hAnsi="Tahoma" w:eastAsia="Times New Roman" w:cs="Times New Roman"/>
      <w:sz w:val="20"/>
      <w:szCs w:val="20"/>
      <w:lang w:eastAsia="es-ES"/>
    </w:rPr>
  </w:style>
  <w:style w:type="character" w:styleId="Hipervnculo">
    <w:name w:val="Hyperlink"/>
    <w:basedOn w:val="Fuentedeprrafopredeter"/>
    <w:uiPriority w:val="99"/>
    <w:unhideWhenUsed/>
    <w:rsid w:val="00931B5A"/>
    <w:rPr>
      <w:color w:val="0563C1" w:themeColor="hyperlink"/>
      <w:u w:val="single"/>
    </w:rPr>
  </w:style>
  <w:style w:type="character" w:styleId="Ttulo1Car" w:customStyle="1">
    <w:name w:val="Título 1 Car"/>
    <w:basedOn w:val="Fuentedeprrafopredeter"/>
    <w:link w:val="Ttulo1"/>
    <w:uiPriority w:val="9"/>
    <w:rsid w:val="009830DB"/>
    <w:rPr>
      <w:rFonts w:ascii="Arial" w:hAnsi="Arial" w:eastAsia="Arial" w:cs="Arial"/>
      <w:b/>
      <w:bCs/>
      <w:sz w:val="24"/>
      <w:szCs w:val="24"/>
      <w:lang w:val="en-US"/>
    </w:rPr>
  </w:style>
  <w:style w:type="character" w:styleId="Ttulo2Car" w:customStyle="1">
    <w:name w:val="Título 2 Car"/>
    <w:basedOn w:val="Fuentedeprrafopredeter"/>
    <w:link w:val="Ttulo2"/>
    <w:uiPriority w:val="9"/>
    <w:rsid w:val="009830DB"/>
    <w:rPr>
      <w:rFonts w:ascii="Arial" w:hAnsi="Arial" w:eastAsia="Arial" w:cs="Arial"/>
      <w:b/>
      <w:bCs/>
      <w:lang w:val="en-US"/>
    </w:rPr>
  </w:style>
  <w:style w:type="character" w:styleId="Ttulo3Car" w:customStyle="1">
    <w:name w:val="Título 3 Car"/>
    <w:basedOn w:val="Fuentedeprrafopredeter"/>
    <w:link w:val="Ttulo3"/>
    <w:uiPriority w:val="9"/>
    <w:rsid w:val="009830DB"/>
    <w:rPr>
      <w:rFonts w:ascii="Calibri Light" w:hAnsi="Calibri Light" w:eastAsia="Times New Roman" w:cs="Times New Roman"/>
      <w:b/>
      <w:bCs/>
      <w:sz w:val="26"/>
      <w:szCs w:val="26"/>
      <w:lang w:val="en-US"/>
    </w:rPr>
  </w:style>
  <w:style w:type="character" w:styleId="Ttulo4Car" w:customStyle="1">
    <w:name w:val="Título 4 Car"/>
    <w:basedOn w:val="Fuentedeprrafopredeter"/>
    <w:link w:val="Ttulo4"/>
    <w:uiPriority w:val="9"/>
    <w:rsid w:val="009830DB"/>
    <w:rPr>
      <w:rFonts w:ascii="Calibri" w:hAnsi="Calibri" w:eastAsia="Times New Roman" w:cs="Times New Roman"/>
      <w:b/>
      <w:bCs/>
      <w:sz w:val="28"/>
      <w:szCs w:val="28"/>
      <w:lang w:val="en-US"/>
    </w:rPr>
  </w:style>
  <w:style w:type="character" w:styleId="Ttulo6Car" w:customStyle="1">
    <w:name w:val="Título 6 Car"/>
    <w:basedOn w:val="Fuentedeprrafopredeter"/>
    <w:link w:val="Ttulo6"/>
    <w:uiPriority w:val="9"/>
    <w:semiHidden/>
    <w:rsid w:val="009830DB"/>
    <w:rPr>
      <w:rFonts w:ascii="Calibri" w:hAnsi="Calibri" w:eastAsia="Times New Roman" w:cs="Times New Roman"/>
      <w:b/>
      <w:bCs/>
      <w:lang w:val="en-US"/>
    </w:rPr>
  </w:style>
  <w:style w:type="table" w:styleId="TableNormal" w:customStyle="1">
    <w:name w:val="Table Normal"/>
    <w:uiPriority w:val="2"/>
    <w:semiHidden/>
    <w:unhideWhenUsed/>
    <w:qFormat/>
    <w:rsid w:val="009830DB"/>
    <w:pPr>
      <w:widowControl w:val="0"/>
      <w:autoSpaceDE w:val="0"/>
      <w:autoSpaceDN w:val="0"/>
      <w:spacing w:after="0" w:line="240" w:lineRule="auto"/>
    </w:pPr>
    <w:rPr>
      <w:rFonts w:ascii="Calibri" w:hAnsi="Calibri" w:eastAsia="Calibri" w:cs="Times New Roman"/>
      <w:lang w:val="en-US"/>
    </w:rPr>
    <w:tblPr>
      <w:tblInd w:w="0" w:type="dxa"/>
      <w:tblCellMar>
        <w:top w:w="0" w:type="dxa"/>
        <w:left w:w="0" w:type="dxa"/>
        <w:bottom w:w="0" w:type="dxa"/>
        <w:right w:w="0" w:type="dxa"/>
      </w:tblCellMar>
    </w:tblPr>
  </w:style>
  <w:style w:type="paragraph" w:styleId="TDC1">
    <w:name w:val="toc 1"/>
    <w:basedOn w:val="Normal"/>
    <w:uiPriority w:val="39"/>
    <w:qFormat/>
    <w:rsid w:val="009830DB"/>
    <w:pPr>
      <w:widowControl w:val="0"/>
      <w:autoSpaceDE w:val="0"/>
      <w:autoSpaceDN w:val="0"/>
      <w:spacing w:before="240" w:after="120" w:line="240" w:lineRule="auto"/>
    </w:pPr>
    <w:rPr>
      <w:rFonts w:ascii="Calibri" w:hAnsi="Calibri" w:eastAsia="Arial" w:cs="Calibri"/>
      <w:b/>
      <w:bCs/>
      <w:sz w:val="20"/>
      <w:szCs w:val="20"/>
      <w:lang w:val="en-US"/>
    </w:rPr>
  </w:style>
  <w:style w:type="paragraph" w:styleId="TDC2">
    <w:name w:val="toc 2"/>
    <w:basedOn w:val="Normal"/>
    <w:uiPriority w:val="39"/>
    <w:qFormat/>
    <w:rsid w:val="009830DB"/>
    <w:pPr>
      <w:widowControl w:val="0"/>
      <w:autoSpaceDE w:val="0"/>
      <w:autoSpaceDN w:val="0"/>
      <w:spacing w:before="120" w:after="0" w:line="240" w:lineRule="auto"/>
      <w:ind w:left="220"/>
    </w:pPr>
    <w:rPr>
      <w:rFonts w:ascii="Calibri" w:hAnsi="Calibri" w:eastAsia="Arial" w:cs="Calibri"/>
      <w:i/>
      <w:iCs/>
      <w:sz w:val="20"/>
      <w:szCs w:val="20"/>
      <w:lang w:val="en-US"/>
    </w:rPr>
  </w:style>
  <w:style w:type="paragraph" w:styleId="TDC3">
    <w:name w:val="toc 3"/>
    <w:basedOn w:val="Normal"/>
    <w:uiPriority w:val="39"/>
    <w:qFormat/>
    <w:rsid w:val="009830DB"/>
    <w:pPr>
      <w:widowControl w:val="0"/>
      <w:autoSpaceDE w:val="0"/>
      <w:autoSpaceDN w:val="0"/>
      <w:spacing w:after="0" w:line="240" w:lineRule="auto"/>
      <w:ind w:left="440"/>
    </w:pPr>
    <w:rPr>
      <w:rFonts w:ascii="Calibri" w:hAnsi="Calibri" w:eastAsia="Arial" w:cs="Calibri"/>
      <w:sz w:val="20"/>
      <w:szCs w:val="20"/>
      <w:lang w:val="en-US"/>
    </w:rPr>
  </w:style>
  <w:style w:type="paragraph" w:styleId="TDC4">
    <w:name w:val="toc 4"/>
    <w:basedOn w:val="Normal"/>
    <w:uiPriority w:val="39"/>
    <w:qFormat/>
    <w:rsid w:val="009830DB"/>
    <w:pPr>
      <w:widowControl w:val="0"/>
      <w:autoSpaceDE w:val="0"/>
      <w:autoSpaceDN w:val="0"/>
      <w:spacing w:after="0" w:line="240" w:lineRule="auto"/>
      <w:ind w:left="660"/>
    </w:pPr>
    <w:rPr>
      <w:rFonts w:ascii="Calibri" w:hAnsi="Calibri" w:eastAsia="Arial" w:cs="Calibri"/>
      <w:sz w:val="20"/>
      <w:szCs w:val="20"/>
      <w:lang w:val="en-US"/>
    </w:rPr>
  </w:style>
  <w:style w:type="paragraph" w:styleId="TDC5">
    <w:name w:val="toc 5"/>
    <w:basedOn w:val="Normal"/>
    <w:uiPriority w:val="39"/>
    <w:qFormat/>
    <w:rsid w:val="009830DB"/>
    <w:pPr>
      <w:widowControl w:val="0"/>
      <w:autoSpaceDE w:val="0"/>
      <w:autoSpaceDN w:val="0"/>
      <w:spacing w:after="0" w:line="240" w:lineRule="auto"/>
      <w:ind w:left="880"/>
    </w:pPr>
    <w:rPr>
      <w:rFonts w:ascii="Calibri" w:hAnsi="Calibri" w:eastAsia="Arial" w:cs="Calibri"/>
      <w:sz w:val="20"/>
      <w:szCs w:val="20"/>
      <w:lang w:val="en-US"/>
    </w:rPr>
  </w:style>
  <w:style w:type="paragraph" w:styleId="TDC6">
    <w:name w:val="toc 6"/>
    <w:basedOn w:val="Normal"/>
    <w:uiPriority w:val="39"/>
    <w:qFormat/>
    <w:rsid w:val="009830DB"/>
    <w:pPr>
      <w:widowControl w:val="0"/>
      <w:autoSpaceDE w:val="0"/>
      <w:autoSpaceDN w:val="0"/>
      <w:spacing w:after="0" w:line="240" w:lineRule="auto"/>
      <w:ind w:left="1100"/>
    </w:pPr>
    <w:rPr>
      <w:rFonts w:ascii="Calibri" w:hAnsi="Calibri" w:eastAsia="Arial" w:cs="Calibri"/>
      <w:sz w:val="20"/>
      <w:szCs w:val="20"/>
      <w:lang w:val="en-US"/>
    </w:rPr>
  </w:style>
  <w:style w:type="paragraph" w:styleId="TDC7">
    <w:name w:val="toc 7"/>
    <w:basedOn w:val="Normal"/>
    <w:uiPriority w:val="39"/>
    <w:qFormat/>
    <w:rsid w:val="009830DB"/>
    <w:pPr>
      <w:widowControl w:val="0"/>
      <w:autoSpaceDE w:val="0"/>
      <w:autoSpaceDN w:val="0"/>
      <w:spacing w:after="0" w:line="240" w:lineRule="auto"/>
      <w:ind w:left="1320"/>
    </w:pPr>
    <w:rPr>
      <w:rFonts w:ascii="Calibri" w:hAnsi="Calibri" w:eastAsia="Arial" w:cs="Calibri"/>
      <w:sz w:val="20"/>
      <w:szCs w:val="20"/>
      <w:lang w:val="en-US"/>
    </w:rPr>
  </w:style>
  <w:style w:type="paragraph" w:styleId="TDC8">
    <w:name w:val="toc 8"/>
    <w:basedOn w:val="Normal"/>
    <w:uiPriority w:val="39"/>
    <w:qFormat/>
    <w:rsid w:val="009830DB"/>
    <w:pPr>
      <w:widowControl w:val="0"/>
      <w:autoSpaceDE w:val="0"/>
      <w:autoSpaceDN w:val="0"/>
      <w:spacing w:after="0" w:line="240" w:lineRule="auto"/>
      <w:ind w:left="1540"/>
    </w:pPr>
    <w:rPr>
      <w:rFonts w:ascii="Calibri" w:hAnsi="Calibri" w:eastAsia="Arial" w:cs="Calibri"/>
      <w:sz w:val="20"/>
      <w:szCs w:val="20"/>
      <w:lang w:val="en-US"/>
    </w:rPr>
  </w:style>
  <w:style w:type="paragraph" w:styleId="TDC9">
    <w:name w:val="toc 9"/>
    <w:basedOn w:val="Normal"/>
    <w:uiPriority w:val="39"/>
    <w:qFormat/>
    <w:rsid w:val="009830DB"/>
    <w:pPr>
      <w:widowControl w:val="0"/>
      <w:autoSpaceDE w:val="0"/>
      <w:autoSpaceDN w:val="0"/>
      <w:spacing w:after="0" w:line="240" w:lineRule="auto"/>
      <w:ind w:left="1760"/>
    </w:pPr>
    <w:rPr>
      <w:rFonts w:ascii="Calibri" w:hAnsi="Calibri" w:eastAsia="Arial" w:cs="Calibri"/>
      <w:sz w:val="20"/>
      <w:szCs w:val="20"/>
      <w:lang w:val="en-US"/>
    </w:rPr>
  </w:style>
  <w:style w:type="paragraph" w:styleId="Textoindependiente">
    <w:name w:val="Body Text"/>
    <w:basedOn w:val="Normal"/>
    <w:link w:val="TextoindependienteCar"/>
    <w:uiPriority w:val="1"/>
    <w:qFormat/>
    <w:rsid w:val="009830DB"/>
    <w:pPr>
      <w:widowControl w:val="0"/>
      <w:autoSpaceDE w:val="0"/>
      <w:autoSpaceDN w:val="0"/>
      <w:spacing w:after="0" w:line="240" w:lineRule="auto"/>
    </w:pPr>
    <w:rPr>
      <w:rFonts w:ascii="Arial" w:hAnsi="Arial" w:eastAsia="Arial" w:cs="Arial"/>
      <w:lang w:val="en-US"/>
    </w:rPr>
  </w:style>
  <w:style w:type="character" w:styleId="TextoindependienteCar" w:customStyle="1">
    <w:name w:val="Texto independiente Car"/>
    <w:basedOn w:val="Fuentedeprrafopredeter"/>
    <w:link w:val="Textoindependiente"/>
    <w:uiPriority w:val="1"/>
    <w:rsid w:val="009830DB"/>
    <w:rPr>
      <w:rFonts w:ascii="Arial" w:hAnsi="Arial" w:eastAsia="Arial" w:cs="Arial"/>
      <w:lang w:val="en-US"/>
    </w:rPr>
  </w:style>
  <w:style w:type="paragraph" w:styleId="Prrafodelista">
    <w:name w:val="List Paragraph"/>
    <w:basedOn w:val="Normal"/>
    <w:uiPriority w:val="34"/>
    <w:qFormat/>
    <w:rsid w:val="009830DB"/>
    <w:pPr>
      <w:widowControl w:val="0"/>
      <w:autoSpaceDE w:val="0"/>
      <w:autoSpaceDN w:val="0"/>
      <w:spacing w:after="0" w:line="240" w:lineRule="auto"/>
      <w:ind w:left="1248" w:hanging="425"/>
    </w:pPr>
    <w:rPr>
      <w:rFonts w:ascii="Arial" w:hAnsi="Arial" w:eastAsia="Arial" w:cs="Arial"/>
      <w:lang w:val="en-US"/>
    </w:rPr>
  </w:style>
  <w:style w:type="paragraph" w:styleId="TableParagraph" w:customStyle="1">
    <w:name w:val="Table Paragraph"/>
    <w:basedOn w:val="Normal"/>
    <w:uiPriority w:val="1"/>
    <w:qFormat/>
    <w:rsid w:val="009830DB"/>
    <w:pPr>
      <w:widowControl w:val="0"/>
      <w:autoSpaceDE w:val="0"/>
      <w:autoSpaceDN w:val="0"/>
      <w:spacing w:after="0" w:line="240" w:lineRule="auto"/>
    </w:pPr>
    <w:rPr>
      <w:rFonts w:ascii="Arial" w:hAnsi="Arial" w:eastAsia="Arial" w:cs="Arial"/>
      <w:lang w:val="en-US"/>
    </w:rPr>
  </w:style>
  <w:style w:type="paragraph" w:styleId="Textodeglobo">
    <w:name w:val="Balloon Text"/>
    <w:basedOn w:val="Normal"/>
    <w:link w:val="TextodegloboCar"/>
    <w:uiPriority w:val="99"/>
    <w:semiHidden/>
    <w:unhideWhenUsed/>
    <w:rsid w:val="009830DB"/>
    <w:pPr>
      <w:widowControl w:val="0"/>
      <w:autoSpaceDE w:val="0"/>
      <w:autoSpaceDN w:val="0"/>
      <w:spacing w:after="0" w:line="240" w:lineRule="auto"/>
    </w:pPr>
    <w:rPr>
      <w:rFonts w:ascii="Tahoma" w:hAnsi="Tahoma" w:eastAsia="Arial" w:cs="Times New Roman"/>
      <w:sz w:val="16"/>
      <w:szCs w:val="16"/>
      <w:lang w:val="x-none" w:eastAsia="x-none"/>
    </w:rPr>
  </w:style>
  <w:style w:type="character" w:styleId="TextodegloboCar" w:customStyle="1">
    <w:name w:val="Texto de globo Car"/>
    <w:basedOn w:val="Fuentedeprrafopredeter"/>
    <w:link w:val="Textodeglobo"/>
    <w:uiPriority w:val="99"/>
    <w:semiHidden/>
    <w:rsid w:val="009830DB"/>
    <w:rPr>
      <w:rFonts w:ascii="Tahoma" w:hAnsi="Tahoma" w:eastAsia="Arial" w:cs="Times New Roman"/>
      <w:sz w:val="16"/>
      <w:szCs w:val="16"/>
      <w:lang w:val="x-none" w:eastAsia="x-none"/>
    </w:rPr>
  </w:style>
  <w:style w:type="paragraph" w:styleId="Textonotapie">
    <w:name w:val="footnote text"/>
    <w:basedOn w:val="Normal"/>
    <w:link w:val="TextonotapieCar"/>
    <w:uiPriority w:val="99"/>
    <w:semiHidden/>
    <w:unhideWhenUsed/>
    <w:rsid w:val="009830DB"/>
    <w:pPr>
      <w:widowControl w:val="0"/>
      <w:autoSpaceDE w:val="0"/>
      <w:autoSpaceDN w:val="0"/>
      <w:spacing w:after="0" w:line="240" w:lineRule="auto"/>
    </w:pPr>
    <w:rPr>
      <w:rFonts w:ascii="Arial" w:hAnsi="Arial" w:eastAsia="Arial" w:cs="Times New Roman"/>
      <w:sz w:val="20"/>
      <w:szCs w:val="20"/>
      <w:lang w:val="x-none" w:eastAsia="x-none"/>
    </w:rPr>
  </w:style>
  <w:style w:type="character" w:styleId="TextonotapieCar" w:customStyle="1">
    <w:name w:val="Texto nota pie Car"/>
    <w:basedOn w:val="Fuentedeprrafopredeter"/>
    <w:link w:val="Textonotapie"/>
    <w:uiPriority w:val="99"/>
    <w:semiHidden/>
    <w:rsid w:val="009830DB"/>
    <w:rPr>
      <w:rFonts w:ascii="Arial" w:hAnsi="Arial" w:eastAsia="Arial" w:cs="Times New Roman"/>
      <w:sz w:val="20"/>
      <w:szCs w:val="20"/>
      <w:lang w:val="x-none" w:eastAsia="x-none"/>
    </w:rPr>
  </w:style>
  <w:style w:type="character" w:styleId="Refdenotaalpie">
    <w:name w:val="footnote reference"/>
    <w:uiPriority w:val="99"/>
    <w:semiHidden/>
    <w:unhideWhenUsed/>
    <w:rsid w:val="009830DB"/>
    <w:rPr>
      <w:vertAlign w:val="superscript"/>
    </w:rPr>
  </w:style>
  <w:style w:type="character" w:styleId="Fuerte">
    <w:name w:val="Strong"/>
    <w:uiPriority w:val="22"/>
    <w:qFormat/>
    <w:rsid w:val="009830DB"/>
    <w:rPr>
      <w:b/>
      <w:bCs/>
    </w:rPr>
  </w:style>
  <w:style w:type="character" w:styleId="nfasis">
    <w:name w:val="Emphasis"/>
    <w:uiPriority w:val="20"/>
    <w:qFormat/>
    <w:rsid w:val="009830DB"/>
    <w:rPr>
      <w:i/>
      <w:iCs/>
    </w:rPr>
  </w:style>
  <w:style w:type="paragraph" w:styleId="NormalWeb">
    <w:name w:val="Normal (Web)"/>
    <w:basedOn w:val="Normal"/>
    <w:uiPriority w:val="99"/>
    <w:semiHidden/>
    <w:unhideWhenUsed/>
    <w:rsid w:val="009830DB"/>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Refdecomentario">
    <w:name w:val="annotation reference"/>
    <w:uiPriority w:val="99"/>
    <w:semiHidden/>
    <w:unhideWhenUsed/>
    <w:rsid w:val="009830DB"/>
    <w:rPr>
      <w:sz w:val="16"/>
      <w:szCs w:val="16"/>
    </w:rPr>
  </w:style>
  <w:style w:type="paragraph" w:styleId="Textocomentario">
    <w:name w:val="annotation text"/>
    <w:basedOn w:val="Normal"/>
    <w:link w:val="TextocomentarioCar"/>
    <w:uiPriority w:val="99"/>
    <w:semiHidden/>
    <w:unhideWhenUsed/>
    <w:rsid w:val="009830DB"/>
    <w:pPr>
      <w:widowControl w:val="0"/>
      <w:autoSpaceDE w:val="0"/>
      <w:autoSpaceDN w:val="0"/>
      <w:spacing w:after="0" w:line="240" w:lineRule="auto"/>
    </w:pPr>
    <w:rPr>
      <w:rFonts w:ascii="Arial" w:hAnsi="Arial" w:eastAsia="Arial" w:cs="Times New Roman"/>
      <w:sz w:val="20"/>
      <w:szCs w:val="20"/>
      <w:lang w:val="x-none" w:eastAsia="x-none"/>
    </w:rPr>
  </w:style>
  <w:style w:type="character" w:styleId="TextocomentarioCar" w:customStyle="1">
    <w:name w:val="Texto comentario Car"/>
    <w:basedOn w:val="Fuentedeprrafopredeter"/>
    <w:link w:val="Textocomentario"/>
    <w:uiPriority w:val="99"/>
    <w:semiHidden/>
    <w:rsid w:val="009830DB"/>
    <w:rPr>
      <w:rFonts w:ascii="Arial" w:hAnsi="Arial" w:eastAsia="Arial" w:cs="Times New Roman"/>
      <w:sz w:val="20"/>
      <w:szCs w:val="20"/>
      <w:lang w:val="x-none" w:eastAsia="x-none"/>
    </w:rPr>
  </w:style>
  <w:style w:type="paragraph" w:styleId="Asuntodelcomentario">
    <w:name w:val="annotation subject"/>
    <w:basedOn w:val="Textocomentario"/>
    <w:next w:val="Textocomentario"/>
    <w:link w:val="AsuntodelcomentarioCar"/>
    <w:uiPriority w:val="99"/>
    <w:semiHidden/>
    <w:unhideWhenUsed/>
    <w:rsid w:val="009830DB"/>
    <w:rPr>
      <w:b/>
      <w:bCs/>
    </w:rPr>
  </w:style>
  <w:style w:type="character" w:styleId="AsuntodelcomentarioCar" w:customStyle="1">
    <w:name w:val="Asunto del comentario Car"/>
    <w:basedOn w:val="TextocomentarioCar"/>
    <w:link w:val="Asuntodelcomentario"/>
    <w:uiPriority w:val="99"/>
    <w:semiHidden/>
    <w:rsid w:val="009830DB"/>
    <w:rPr>
      <w:rFonts w:ascii="Arial" w:hAnsi="Arial" w:eastAsia="Arial" w:cs="Times New Roman"/>
      <w:b/>
      <w:bCs/>
      <w:sz w:val="20"/>
      <w:szCs w:val="20"/>
      <w:lang w:val="x-none" w:eastAsia="x-none"/>
    </w:rPr>
  </w:style>
  <w:style w:type="paragraph" w:styleId="Revisin">
    <w:name w:val="Revision"/>
    <w:hidden/>
    <w:uiPriority w:val="99"/>
    <w:semiHidden/>
    <w:rsid w:val="009830DB"/>
    <w:pPr>
      <w:spacing w:after="0" w:line="240" w:lineRule="auto"/>
    </w:pPr>
    <w:rPr>
      <w:rFonts w:ascii="Arial" w:hAnsi="Arial" w:eastAsia="Arial" w:cs="Arial"/>
      <w:lang w:val="en-US"/>
    </w:rPr>
  </w:style>
  <w:style w:type="paragraph" w:styleId="Textonotaalfinal">
    <w:name w:val="endnote text"/>
    <w:basedOn w:val="Normal"/>
    <w:link w:val="TextonotaalfinalCar"/>
    <w:uiPriority w:val="99"/>
    <w:semiHidden/>
    <w:unhideWhenUsed/>
    <w:rsid w:val="009830DB"/>
    <w:pPr>
      <w:widowControl w:val="0"/>
      <w:autoSpaceDE w:val="0"/>
      <w:autoSpaceDN w:val="0"/>
      <w:spacing w:after="0" w:line="240" w:lineRule="auto"/>
    </w:pPr>
    <w:rPr>
      <w:rFonts w:ascii="Arial" w:hAnsi="Arial" w:eastAsia="Arial" w:cs="Times New Roman"/>
      <w:sz w:val="20"/>
      <w:szCs w:val="20"/>
      <w:lang w:val="x-none" w:eastAsia="x-none"/>
    </w:rPr>
  </w:style>
  <w:style w:type="character" w:styleId="TextonotaalfinalCar" w:customStyle="1">
    <w:name w:val="Texto nota al final Car"/>
    <w:basedOn w:val="Fuentedeprrafopredeter"/>
    <w:link w:val="Textonotaalfinal"/>
    <w:uiPriority w:val="99"/>
    <w:semiHidden/>
    <w:rsid w:val="009830DB"/>
    <w:rPr>
      <w:rFonts w:ascii="Arial" w:hAnsi="Arial" w:eastAsia="Arial" w:cs="Times New Roman"/>
      <w:sz w:val="20"/>
      <w:szCs w:val="20"/>
      <w:lang w:val="x-none" w:eastAsia="x-none"/>
    </w:rPr>
  </w:style>
  <w:style w:type="character" w:styleId="Refdenotaalfinal">
    <w:name w:val="endnote reference"/>
    <w:uiPriority w:val="99"/>
    <w:semiHidden/>
    <w:unhideWhenUsed/>
    <w:rsid w:val="009830DB"/>
    <w:rPr>
      <w:vertAlign w:val="superscript"/>
    </w:rPr>
  </w:style>
  <w:style w:type="paragraph" w:styleId="TtuloTDC">
    <w:name w:val="TOC Heading"/>
    <w:basedOn w:val="Ttulo1"/>
    <w:next w:val="Normal"/>
    <w:uiPriority w:val="39"/>
    <w:unhideWhenUsed/>
    <w:qFormat/>
    <w:rsid w:val="009830DB"/>
    <w:pPr>
      <w:keepNext/>
      <w:keepLines/>
      <w:widowControl/>
      <w:autoSpaceDE/>
      <w:autoSpaceDN/>
      <w:spacing w:before="240" w:line="259" w:lineRule="auto"/>
      <w:ind w:left="0"/>
      <w:outlineLvl w:val="9"/>
    </w:pPr>
    <w:rPr>
      <w:rFonts w:ascii="Cambria" w:hAnsi="Cambria" w:eastAsia="Times New Roman" w:cs="Times New Roman"/>
      <w:b w:val="0"/>
      <w:bCs w:val="0"/>
      <w:color w:val="365F91"/>
      <w:sz w:val="32"/>
      <w:szCs w:val="32"/>
      <w:lang w:val="es-CO" w:eastAsia="es-CO"/>
    </w:rPr>
  </w:style>
  <w:style w:type="paragraph" w:styleId="Ttulo">
    <w:name w:val="Title"/>
    <w:basedOn w:val="Normal"/>
    <w:link w:val="TtuloCar"/>
    <w:qFormat/>
    <w:rsid w:val="009830DB"/>
    <w:pPr>
      <w:overflowPunct w:val="0"/>
      <w:autoSpaceDE w:val="0"/>
      <w:autoSpaceDN w:val="0"/>
      <w:adjustRightInd w:val="0"/>
      <w:spacing w:after="0" w:line="360" w:lineRule="auto"/>
      <w:jc w:val="center"/>
      <w:textAlignment w:val="baseline"/>
    </w:pPr>
    <w:rPr>
      <w:rFonts w:ascii="Arial" w:hAnsi="Arial" w:eastAsia="Times New Roman" w:cs="Times New Roman"/>
      <w:b/>
      <w:sz w:val="24"/>
      <w:szCs w:val="20"/>
      <w:lang w:val="es-ES" w:eastAsia="es-ES"/>
    </w:rPr>
  </w:style>
  <w:style w:type="character" w:styleId="TtuloCar" w:customStyle="1">
    <w:name w:val="Título Car"/>
    <w:basedOn w:val="Fuentedeprrafopredeter"/>
    <w:link w:val="Ttulo"/>
    <w:rsid w:val="009830DB"/>
    <w:rPr>
      <w:rFonts w:ascii="Arial" w:hAnsi="Arial" w:eastAsia="Times New Roman" w:cs="Times New Roman"/>
      <w:b/>
      <w:sz w:val="24"/>
      <w:szCs w:val="20"/>
      <w:lang w:val="es-ES" w:eastAsia="es-ES"/>
    </w:rPr>
  </w:style>
  <w:style w:type="paragraph" w:styleId="ttulo0" w:customStyle="1">
    <w:name w:val="título"/>
    <w:basedOn w:val="Normal"/>
    <w:rsid w:val="009830DB"/>
    <w:pPr>
      <w:widowControl w:val="0"/>
      <w:spacing w:after="0" w:line="240" w:lineRule="auto"/>
    </w:pPr>
    <w:rPr>
      <w:rFonts w:ascii="Courier New" w:hAnsi="Courier New" w:eastAsia="Times New Roman" w:cs="Times New Roman"/>
      <w:sz w:val="24"/>
      <w:szCs w:val="20"/>
      <w:lang w:eastAsia="es-ES"/>
    </w:rPr>
  </w:style>
  <w:style w:type="paragraph" w:styleId="Default" w:customStyle="1">
    <w:name w:val="Default"/>
    <w:rsid w:val="009830DB"/>
    <w:pPr>
      <w:autoSpaceDE w:val="0"/>
      <w:autoSpaceDN w:val="0"/>
      <w:adjustRightInd w:val="0"/>
      <w:spacing w:after="0" w:line="240" w:lineRule="auto"/>
    </w:pPr>
    <w:rPr>
      <w:rFonts w:ascii="Arial" w:hAnsi="Arial" w:eastAsia="Calibri" w:cs="Arial"/>
      <w:color w:val="000000"/>
      <w:sz w:val="24"/>
      <w:szCs w:val="24"/>
      <w:lang w:eastAsia="es-CO"/>
    </w:rPr>
  </w:style>
  <w:style w:type="paragraph" w:styleId="nueve" w:customStyle="1">
    <w:name w:val="nueve"/>
    <w:basedOn w:val="Normal"/>
    <w:rsid w:val="009830DB"/>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Mencinsinresolver1" w:customStyle="1">
    <w:name w:val="Mención sin resolver1"/>
    <w:uiPriority w:val="99"/>
    <w:semiHidden/>
    <w:unhideWhenUsed/>
    <w:rsid w:val="009830DB"/>
    <w:rPr>
      <w:color w:val="605E5C"/>
      <w:shd w:val="clear" w:color="auto" w:fill="E1DFDD"/>
    </w:rPr>
  </w:style>
  <w:style w:type="character" w:styleId="Nmerodepgina">
    <w:name w:val="page number"/>
    <w:basedOn w:val="Fuentedeprrafopredeter"/>
    <w:uiPriority w:val="99"/>
    <w:semiHidden/>
    <w:unhideWhenUsed/>
    <w:rsid w:val="002A4DCB"/>
  </w:style>
  <w:style w:type="character" w:styleId="Mencinsinresolver">
    <w:name w:val="Unresolved Mention"/>
    <w:basedOn w:val="Fuentedeprrafopredeter"/>
    <w:uiPriority w:val="99"/>
    <w:semiHidden/>
    <w:unhideWhenUsed/>
    <w:rsid w:val="004C6151"/>
    <w:rPr>
      <w:color w:val="605E5C"/>
      <w:shd w:val="clear" w:color="auto" w:fill="E1DFDD"/>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805864">
      <w:bodyDiv w:val="1"/>
      <w:marLeft w:val="0"/>
      <w:marRight w:val="0"/>
      <w:marTop w:val="0"/>
      <w:marBottom w:val="0"/>
      <w:divBdr>
        <w:top w:val="none" w:sz="0" w:space="0" w:color="auto"/>
        <w:left w:val="none" w:sz="0" w:space="0" w:color="auto"/>
        <w:bottom w:val="none" w:sz="0" w:space="0" w:color="auto"/>
        <w:right w:val="none" w:sz="0" w:space="0" w:color="auto"/>
      </w:divBdr>
      <w:divsChild>
        <w:div w:id="1017387815">
          <w:marLeft w:val="0"/>
          <w:marRight w:val="0"/>
          <w:marTop w:val="0"/>
          <w:marBottom w:val="0"/>
          <w:divBdr>
            <w:top w:val="none" w:sz="0" w:space="0" w:color="auto"/>
            <w:left w:val="none" w:sz="0" w:space="0" w:color="auto"/>
            <w:bottom w:val="none" w:sz="0" w:space="0" w:color="auto"/>
            <w:right w:val="none" w:sz="0" w:space="0" w:color="auto"/>
          </w:divBdr>
        </w:div>
        <w:div w:id="1754930655">
          <w:marLeft w:val="0"/>
          <w:marRight w:val="0"/>
          <w:marTop w:val="0"/>
          <w:marBottom w:val="0"/>
          <w:divBdr>
            <w:top w:val="none" w:sz="0" w:space="0" w:color="auto"/>
            <w:left w:val="none" w:sz="0" w:space="0" w:color="auto"/>
            <w:bottom w:val="none" w:sz="0" w:space="0" w:color="auto"/>
            <w:right w:val="none" w:sz="0" w:space="0" w:color="auto"/>
          </w:divBdr>
        </w:div>
      </w:divsChild>
    </w:div>
    <w:div w:id="1568686542">
      <w:bodyDiv w:val="1"/>
      <w:marLeft w:val="0"/>
      <w:marRight w:val="0"/>
      <w:marTop w:val="0"/>
      <w:marBottom w:val="0"/>
      <w:divBdr>
        <w:top w:val="none" w:sz="0" w:space="0" w:color="auto"/>
        <w:left w:val="none" w:sz="0" w:space="0" w:color="auto"/>
        <w:bottom w:val="none" w:sz="0" w:space="0" w:color="auto"/>
        <w:right w:val="none" w:sz="0" w:space="0" w:color="auto"/>
      </w:divBdr>
      <w:divsChild>
        <w:div w:id="1275361670">
          <w:marLeft w:val="0"/>
          <w:marRight w:val="0"/>
          <w:marTop w:val="0"/>
          <w:marBottom w:val="0"/>
          <w:divBdr>
            <w:top w:val="none" w:sz="0" w:space="0" w:color="auto"/>
            <w:left w:val="none" w:sz="0" w:space="0" w:color="auto"/>
            <w:bottom w:val="none" w:sz="0" w:space="0" w:color="auto"/>
            <w:right w:val="none" w:sz="0" w:space="0" w:color="auto"/>
          </w:divBdr>
        </w:div>
        <w:div w:id="612565033">
          <w:marLeft w:val="0"/>
          <w:marRight w:val="0"/>
          <w:marTop w:val="0"/>
          <w:marBottom w:val="0"/>
          <w:divBdr>
            <w:top w:val="none" w:sz="0" w:space="0" w:color="auto"/>
            <w:left w:val="none" w:sz="0" w:space="0" w:color="auto"/>
            <w:bottom w:val="none" w:sz="0" w:space="0" w:color="auto"/>
            <w:right w:val="none" w:sz="0" w:space="0" w:color="auto"/>
          </w:divBdr>
        </w:div>
      </w:divsChild>
    </w:div>
    <w:div w:id="20830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customXml" Target="../customXml/item4.xml" Id="rId21" /><Relationship Type="http://schemas.openxmlformats.org/officeDocument/2006/relationships/endnotes" Target="endnot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3.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footer" Target="footer2.xml" Id="rId15" /><Relationship Type="http://schemas.openxmlformats.org/officeDocument/2006/relationships/customXml" Target="../customXml/item2.xml" Id="rId19" /><Relationship Type="http://schemas.openxmlformats.org/officeDocument/2006/relationships/settings" Target="settings.xml" Id="rId4" /><Relationship Type="http://schemas.openxmlformats.org/officeDocument/2006/relationships/header" Target="header2.xml" Id="rId14" /><Relationship Type="http://schemas.openxmlformats.org/officeDocument/2006/relationships/header" Target="header3.xml" Id="R5daf89e1535849e6" /><Relationship Type="http://schemas.openxmlformats.org/officeDocument/2006/relationships/footer" Target="footer4.xml" Id="R152fd46b34bf401f" /><Relationship Type="http://schemas.openxmlformats.org/officeDocument/2006/relationships/header" Target="header4.xml" Id="Rfa8865a7573d4e12" /><Relationship Type="http://schemas.openxmlformats.org/officeDocument/2006/relationships/footer" Target="footer5.xml" Id="Rb3f486ac8faa4a31" /><Relationship Type="http://schemas.openxmlformats.org/officeDocument/2006/relationships/header" Target="header5.xml" Id="Re77ae9ef2eca418c" /><Relationship Type="http://schemas.openxmlformats.org/officeDocument/2006/relationships/footer" Target="footer6.xml" Id="R1f7c658751be4c6f" /><Relationship Type="http://schemas.openxmlformats.org/officeDocument/2006/relationships/image" Target="/media/image3.png" Id="rId1483249033" /></Relationships>
</file>

<file path=word/_rels/footer1.xml.rels><?xml version="1.0" encoding="UTF-8" standalone="yes"?>
<Relationships xmlns="http://schemas.openxmlformats.org/package/2006/relationships"><Relationship Id="rId2" Type="http://schemas.openxmlformats.org/officeDocument/2006/relationships/hyperlink" Target="http://www.minambiente.gov.co" TargetMode="External"/><Relationship Id="rId1" Type="http://schemas.openxmlformats.org/officeDocument/2006/relationships/hyperlink" Target="http://www.minambiente.gov.co"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minambiente.gov.co" TargetMode="External"/><Relationship Id="rId1" Type="http://schemas.openxmlformats.org/officeDocument/2006/relationships/hyperlink" Target="http://www.minambiente.gov.co" TargetMode="External"/></Relationships>
</file>

<file path=word/_rels/header1.xml.rels>&#65279;<?xml version="1.0" encoding="utf-8"?><Relationships xmlns="http://schemas.openxmlformats.org/package/2006/relationships"><Relationship Type="http://schemas.openxmlformats.org/officeDocument/2006/relationships/image" Target="/media/image6.png" Id="rId213169597" /></Relationships>
</file>

<file path=word/_rels/header2.xml.rels>&#65279;<?xml version="1.0" encoding="utf-8"?><Relationships xmlns="http://schemas.openxmlformats.org/package/2006/relationships"><Relationship Type="http://schemas.openxmlformats.org/officeDocument/2006/relationships/image" Target="/media/image4.png" Id="rId1103942617" /></Relationships>
</file>

<file path=word/_rels/header5.xml.rels>&#65279;<?xml version="1.0" encoding="utf-8"?><Relationships xmlns="http://schemas.openxmlformats.org/package/2006/relationships"><Relationship Type="http://schemas.openxmlformats.org/officeDocument/2006/relationships/image" Target="/media/image2.png" Id="rId1103942617"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13DE7E0D0206447AE97E2A6C7A9B3D7" ma:contentTypeVersion="19" ma:contentTypeDescription="Crear nuevo documento." ma:contentTypeScope="" ma:versionID="a5dbe2bbe25d94838e8ab6234111374f">
  <xsd:schema xmlns:xsd="http://www.w3.org/2001/XMLSchema" xmlns:xs="http://www.w3.org/2001/XMLSchema" xmlns:p="http://schemas.microsoft.com/office/2006/metadata/properties" xmlns:ns2="136fdea3-2e69-4c60-8130-6a6319a71c3c" xmlns:ns3="1a05cbd2-3996-442c-b34a-5028faf53e55" targetNamespace="http://schemas.microsoft.com/office/2006/metadata/properties" ma:root="true" ma:fieldsID="dd46c73243dadcca21b71aaef5800722" ns2:_="" ns3:_="">
    <xsd:import namespace="136fdea3-2e69-4c60-8130-6a6319a71c3c"/>
    <xsd:import namespace="1a05cbd2-3996-442c-b34a-5028faf53e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6fdea3-2e69-4c60-8130-6a6319a71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202ef2ac-9fa5-4cf2-ab23-7792f470ab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05cbd2-3996-442c-b34a-5028faf53e55"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42545850-0c82-41f8-98cc-6c9121af0f3b}" ma:internalName="TaxCatchAll" ma:showField="CatchAllData" ma:web="1a05cbd2-3996-442c-b34a-5028faf53e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6fdea3-2e69-4c60-8130-6a6319a71c3c">
      <Terms xmlns="http://schemas.microsoft.com/office/infopath/2007/PartnerControls"/>
    </lcf76f155ced4ddcb4097134ff3c332f>
    <TaxCatchAll xmlns="1a05cbd2-3996-442c-b34a-5028faf53e55" xsi:nil="true"/>
  </documentManagement>
</p:properties>
</file>

<file path=customXml/itemProps1.xml><?xml version="1.0" encoding="utf-8"?>
<ds:datastoreItem xmlns:ds="http://schemas.openxmlformats.org/officeDocument/2006/customXml" ds:itemID="{CD083299-648C-45DB-AAC9-E65D3078CF53}">
  <ds:schemaRefs>
    <ds:schemaRef ds:uri="http://schemas.openxmlformats.org/officeDocument/2006/bibliography"/>
  </ds:schemaRefs>
</ds:datastoreItem>
</file>

<file path=customXml/itemProps2.xml><?xml version="1.0" encoding="utf-8"?>
<ds:datastoreItem xmlns:ds="http://schemas.openxmlformats.org/officeDocument/2006/customXml" ds:itemID="{9794201F-9EAB-4339-8A4A-915823389C23}"/>
</file>

<file path=customXml/itemProps3.xml><?xml version="1.0" encoding="utf-8"?>
<ds:datastoreItem xmlns:ds="http://schemas.openxmlformats.org/officeDocument/2006/customXml" ds:itemID="{D51D3D15-2D9D-4733-BB08-EDF66A464588}"/>
</file>

<file path=customXml/itemProps4.xml><?xml version="1.0" encoding="utf-8"?>
<ds:datastoreItem xmlns:ds="http://schemas.openxmlformats.org/officeDocument/2006/customXml" ds:itemID="{419A1338-EFB9-4D1B-91B9-5B0920EA3B0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AMBIENTE</dc:creator>
  <cp:keywords/>
  <dc:description/>
  <cp:lastModifiedBy>Natalia Maria Ramirez Martinez</cp:lastModifiedBy>
  <cp:revision>8</cp:revision>
  <cp:lastPrinted>2022-11-25T13:26:00Z</cp:lastPrinted>
  <dcterms:created xsi:type="dcterms:W3CDTF">2026-07-10T21:55:00Z</dcterms:created>
  <dcterms:modified xsi:type="dcterms:W3CDTF">2026-07-12T02:07:45Z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0x010100213DE7E0D0206447AE97E2A6C7A9B3D7</vt:lpwstr>
  </property>
  <property fmtid="{D5CDD505-2E9C-101B-9397-08002B2CF9AE}" pid="3" name="MediaServiceImageTags">
    <vt:lpwstr/>
  </property>
</Properties>
</file>